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PE18.004494 vom 26. August 2020</w:t>
      </w:r>
    </w:p>
    <w:p>
      <w:r>
        <w:t>VD Tribunal cantonal, 2020-08-26, FR</w:t>
      </w:r>
    </w:p>
    <w:p>
      <w:r>
        <w:rPr>
          <w:b/>
        </w:rPr>
        <w:t xml:space="preserve">Quelle: </w:t>
      </w:r>
      <w:r>
        <w:t>https://mcp.opencaselaw.ch/entscheid/vd_gerichte_PE18.004494</w:t>
      </w:r>
    </w:p>
    <w:p>
      <w:r>
        <w:t>FR: VD_GERICHTE PE18.004494 du 26 août 2020</w:t>
      </w:r>
    </w:p>
    <w:p>
      <w:r>
        <w:t>IT: VD_GERICHTE PE18.004494 del 26 agosto 2020</w:t>
      </w:r>
    </w:p>
    <w:p>
      <w:pPr>
        <w:pStyle w:val="Heading2"/>
      </w:pPr>
      <w:r>
        <w:t>Erwägungen</w:t>
      </w:r>
    </w:p>
    <w:p>
      <w:r>
        <w:rPr>
          <w:b/>
        </w:rPr>
        <w:t>E. 1</w:t>
      </w:r>
    </w:p>
    <w:p>
      <w:r>
        <w:t>De nationalité portugaise, M.________ est né le [...] 1996 à Martigny. Selon l’expertise psychiatrique à laquelle il a été soumis en cours d’enquête, il a vécu, durant son enfance, des relations familiales tendues et a subi régulièrement des maltraitances de la part de son père. Plusieurs conflits familiaux sont survenus, notamment en lien avec le décrochage scolaire du prévenu et une consommation de stupéfiants massive mais irrégulière (jusqu’à 20 joints par jour) à partir de son adolescence. Dès l’âge de 19 ans, le prévenu a fait des séjours en hôpital psychiatrique ou en foyer pour adultes, la situation au domicile de ses parents étant devenue invivable. Il a notamment fait l’objet d’un placement à des fins d’assistance (PAFA) à 19 ans ensuite d’un acte de violence envers sa sœur, sur qui il avait lancé des objets à travers la pièce. Il a encore été hospitalisé à deux reprises depuis lors, la dernière fois en</w:t>
      </w:r>
    </w:p>
    <w:p>
      <w:r>
        <w:t>- 15 - 2019, sous PAFA. Au terme de sa scolarité, il a obtenu un diplôme préprofessionnel, mais n’a jamais achevé son apprentissage d’installateur chauffagiste. Il est rentier AI depuis l’âge de 20 ans, pour des motifs psychiques, et perçoit à ce titre une rente annuelle de 26'590 fr. (suspendue depuis juin 2019 en raison de sa détention) et des prestations complémentaires de 10'000 fr. par année. Il est au bénéfice d’une curatelle. Ses primes d’assurance maladie s'élèvent à 309 fr. 45 et sont entièrement subsidiées. Il fait état de dettes à hauteur de 34'500 fr. et n’a pas de fortune. Au début de sa détention, il était suivi par un psychiatre une fois toutes les trois semaines. A l’audience d’appel du 19 août 2024, il a indiqué être désormais suivi par un psychologue et une psychiatre, simultanément, à raison d'une à deux fois toutes les trois semaines et prendre un neuroleptique léger (Solian) pour l'aider à dormir. Il est actuellement incarcéré aux Etablissements de la plaine de l'Orbe, où il travaille à l'atelier d'insertion. A sa sortie de prison, il souhaiterait trouver un travail à 40 % dans la viticulture ou dans une autre activité à laquelle il pourra s’adapter. Il envisage de s'établir à [...] dans un appartement seul. Le prévenu a de la famille paternelle au Portugal, notamment des oncles, tantes et cousins, avec qui il a peu de contacts et qu’il a vus il y a 6 ans pour la dernière fois. Il parle le portugais. Le casier judiciaire de M.________ est vierge. Au moment du jugement de première instance, le prévenu avait été détenu provisoirement durant 366 jours, ainsi que durant 90 jours pour des motifs de sûreté. Il a notamment été détenu durant 15 jours à l’Hôtel de police. Par ordonnance du 25 février 2020, le Tribunal des mesures de contrainte a déclaré les conditions de détention de M.________ ultérieures à sa détention à la prison du Bois-Mermet conformes aux dispositions légales. Le prévenu est toujours en détention avant jugement.</w:t>
      </w:r>
    </w:p>
    <w:p>
      <w:r>
        <w:rPr>
          <w:b/>
        </w:rPr>
        <w:t>E. 2.1</w:t>
      </w:r>
    </w:p>
    <w:p>
      <w:r>
        <w:t>A [...], rue [...] et [...], chemin [...], entre novembre ou décembre 2018 et le 25 février 2019, date à laquelle L.________ a été</w:t>
      </w:r>
    </w:p>
    <w:p>
      <w:r>
        <w:t>- 16 - hospitalisée au sein de l’établissement psychiatrique de [...], au cours de leur relation et alors qu’ils faisaient ménage commun (à [...]), M.________ a commis les actes suivants à l’encontre de son ancienne compagne, L.________ :</w:t>
      </w:r>
    </w:p>
    <w:p>
      <w:r>
        <w:rPr>
          <w:b/>
        </w:rPr>
        <w:t>E. 2.1.1</w:t>
      </w:r>
    </w:p>
    <w:p>
      <w:r>
        <w:t>A plusieurs reprises, M.________ a exercé des violences physiques à l’encontre de L.________. Il a notamment jeté des objets (couteau de poche lame fermée) sur elle qui l’ont atteinte au niveau du corps, lui causant ainsi des hématomes, lui a asséné des gifles, lui a frappé la tête contre un mur, lui causant une bosse, et l’a mordue au niveau du ventre. Plus particulièrement, entre décembre 2018 et janvier 2019, M.________ a, à deux reprises et alors qu’il pensait que sa compagne ne lui était pas fidèle, serré L.________, en pleurs, au niveau du cou, l’entravant dans sa respiration, avant de relâcher sa prise. Au cours de ces deux évènements, le prévenu a également mordu L.________ au niveau de la lèvre, lui a asséné un coup de poing au visage, l’atteignant sur le côté droit de la mâchoire, puis l’a suivie et poussée alors qu’elle s’enfuyait par les escaliers, la faisant chuter au sol, ce qui lui a fendu la lèvre.</w:t>
      </w:r>
    </w:p>
    <w:p>
      <w:r>
        <w:rPr>
          <w:b/>
        </w:rPr>
        <w:t>E. 2.1.2</w:t>
      </w:r>
    </w:p>
    <w:p>
      <w:r>
        <w:t>En janvier 2019, M.________ a soustrait le téléphone portable Samsung S7 de L.________, d’une valeur de 360 fr., dans le but de la priver de ce moyen de communication, avant d’endommager l’objet et de le jeter dans le Rhône, lorsqu’il a aperçu la police arriver devant le domicile du couple.</w:t>
      </w:r>
    </w:p>
    <w:p>
      <w:r>
        <w:rPr>
          <w:b/>
        </w:rPr>
        <w:t>E. 2.1.3</w:t>
      </w:r>
    </w:p>
    <w:p>
      <w:r>
        <w:t>A réitérées reprises, dans leur appartement à [...], M.________ a enfermé L.________ chez elle contre son gré, afin de l’empêcher de sortir durant son absence et de s’assurer qu’elle ne rencontre pas d’autres hommes. Pour ce faire, il emportait le seul jeu de clés appartenant à L.________, parfois son téléphone portable également, et fermait la porte à clé en sortant. Cette dernière restait alors séquestrée chez elle, sans moyen de sortir, pendant des durées variant de quelques heures à deux jours. Alors que L.________ avait demandé un deuxième jeu de clés à sa</w:t>
      </w:r>
    </w:p>
    <w:p>
      <w:r>
        <w:t>- 17 - curatrice, M.________ s’en est emparé et l’a dissimulé dans les toilettes, cachette dont L.________ ne connaissait pas l’existence.</w:t>
      </w:r>
    </w:p>
    <w:p>
      <w:r>
        <w:rPr>
          <w:b/>
        </w:rPr>
        <w:t>E. 2.1.4</w:t>
      </w:r>
    </w:p>
    <w:p>
      <w:r>
        <w:t>A une dizaine de reprises, dans leur appartement à [...], M.________ a contraint L.________ à entretenir des relations sexuelles avec lui, par pénétrations tant vaginales qu’anales. Il l’a également contrainte de lui prodiguer une fellation, à une reprise, le 2 février 2019, ce qui a causé à la prénommée une plaie sur la base du frein de la langue. Dans le but de « punir » sa compagne, lui reprochant son manque d’hygiène, sa paresse ou encore de ne pas faire le ménage ou de se montrer trop proche d’autres hommes, M.________ la poussait et l’emmenait de force dans la chambre ou le salon de l’appartement, avant de la déshabiller. Alors que L.________ pleurait et criait, M.________ lui mettait, respectivement lui insérait, contre son gré, des objets qu’il avait acquis précédemment, soit une boule dans la bouche (avec attache derrière la tête) et des menottes (bras dans le dos), avant de la placer en position allongée et de la contraindre à des rapports sexuels (pénétrations vaginales et anales). Lors des rapports, M.________ lui insérait également un plug dans l’anus contre sa volonté. L.________, entravée par les menottes, se débattait en effectuant des mouvements et tentait d’ôter les objets placés sur son corps, alors que M.________ usait de sa force physique pour l’en empêcher et la maintenir.</w:t>
      </w:r>
    </w:p>
    <w:p>
      <w:r>
        <w:rPr>
          <w:b/>
        </w:rPr>
        <w:t>E. 2.1.5</w:t>
      </w:r>
    </w:p>
    <w:p>
      <w:r>
        <w:t>Entre le 21 décembre 2018 et le 25 février 2019, M.________ a régulièrement injurié L.________, lors de disputes, la traitant notamment de « pute » et de « salope ». L.________ a déposé plainte le 21 mars 2019 et s’est constituée partie civile.</w:t>
      </w:r>
    </w:p>
    <w:p>
      <w:r>
        <w:rPr>
          <w:b/>
        </w:rPr>
        <w:t>E. 2.2</w:t>
      </w:r>
    </w:p>
    <w:p>
      <w:r>
        <w:t>A [...], à la Fondation [...] (EMS), sise route [...], le 4 mars 2018, vers 16h50, M.________ est venu rendre visite à O.________, résidente de cet établissement médico-social et souffrant de troubles psychologiques de type borderline. Tous deux s’étaient connus par le biais du site de rencontre « Badoo » et s’étaient déjà vus et embrassés à une reprise</w:t>
      </w:r>
    </w:p>
    <w:p>
      <w:r>
        <w:t>- 18 - auparavant. Arrivés dans la chambre d'O.________, celle-ci a apposé sur sa porte le panneau « ne pas déranger », puis elle est allée prendre un médicament stabilisateur d’humeur pour enfin revenir dans sa chambre et s’asseoir sur son lit, à côté de M.________. Celui-ci a entrepris de l’embrasser, alors qu'O.________ était réticente. Elle a, dans un premier temps, exprimé verbalement son désaccord à entreprendre une relation sexuelle puis, après que M.________ a insisté, en lui faisant des suçons et en la mordant au niveau du cou, il s’est déshabillé et lui a demandé de se lever et de lever les bras, ce qu’elle a fait. Le prévenu l’a alors déshabillée. Il s’est ensuite couché sur elle, puis elle lui a montré où se trouvait la boîte de préservatifs et elle lui a demandé d’en mettre un, ce qu’il a fait. Elle s’est ensuite tue durant l’acte et est restée inerte, jusqu’à ce qu’elle se soit retournée et mise « à quatre pattes », soit sur ses genoux et ses mains. Alors qu’elle se trouvait dans cette position, M.________ a tenté une pénétration anale. O.________ a alors clairement exprimé son désaccord en disant qu’elle avait mal et en se levant. Elle a ensuite demandé à M.________ de remettre un préservatif, le premier s’étant enlevé. M.________ s’est alors repositionné sur elle, qui était couchée sur le dos, puis, durant la pénétration vaginale, elle lui a demandé de finir vite. Après avoir éjaculé, M.________ s’est rhabillé, avant de demander à O.________ quel chemin il devait emprunter pour rentrer, puis est parti. O.________ s’est alors rhabillée, avant de se rendre dans la salle à manger de l’établissement pour se confier à une éducatrice. O.________ a déposé plainte pénale le 5 mars 2018.</w:t>
      </w:r>
    </w:p>
    <w:p>
      <w:r>
        <w:rPr>
          <w:b/>
        </w:rPr>
        <w:t>E. 3</w:t>
      </w:r>
    </w:p>
    <w:p>
      <w:r>
        <w:t>M.________ devant également être condamné pour viol et tentative de contrainte sexuelle à l'encontre d'O.________, il convient d'évaluer sa culpabilité et de fixer la peine.</w:t>
      </w:r>
    </w:p>
    <w:p>
      <w:r>
        <w:rPr>
          <w:b/>
        </w:rPr>
        <w:t>E. 3.1.1</w:t>
      </w:r>
    </w:p>
    <w:p>
      <w:r>
        <w:t>Aux termes de l’art. 47 CP (Code pénal suisse du 21 décembre 1937 ; RS 311.0),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w:t>
      </w:r>
    </w:p>
    <w:p>
      <w:r>
        <w:t>- 22 - professionnelle, risque de récidive, etc.), la vulnérabilité face à la peine, de même que le comportement après l’acte et au cours de la procédure pénale (ATF 149 IV 217 consid. 1.1 ; ATF 142 IV 137 consid. 9.1 ; TF 6B_1100/2023 du 8 juillet 2024 consid. 1.1).</w:t>
      </w:r>
    </w:p>
    <w:p>
      <w:r>
        <w:rPr>
          <w:b/>
        </w:rPr>
        <w:t>E. 3.1.2</w:t>
      </w:r>
    </w:p>
    <w:p>
      <w:r>
        <w:t>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 ATF 127 IV 101 consid. 2b ; 6B_1329/2023 du 19 février 2024 consid. 1.4).</w:t>
      </w:r>
    </w:p>
    <w:p>
      <w:r>
        <w:rPr>
          <w:b/>
        </w:rPr>
        <w:t>E. 3.1.3</w:t>
      </w:r>
    </w:p>
    <w:p>
      <w:r>
        <w:t>Selon l'art. 19 al. 2 CP, le juge atténue la peine si, au moment d'agir, l'auteur ne possédait que partiellement la faculté d'apprécier le caractère illicite de son acte ou de se déterminer d'après cette appréciation. Une diminution de la responsabilité au sens de cette disposition conduit à une diminution de la faute et non de la peine. La réduction de celle-ci n'est que la conséquence de la faute plus légère (ATF 136 IV 55 consid. 5.5 ; TF 6B_145/2016 du 23 novembre 2016 consid. 4.1). Le juge dispose d'un large pouvoir d'appréciation lorsqu'il détermine l'effet de la diminution de la responsabilité sur la faute (subjective) au vu de l'ensemble des circonstances. En bref, il doit procéder comme suit en cas de diminution de la responsabilité pénale : dans un premier temps, il doit décider, sur la base des constatations de fait de l'expertise, dans quelle mesure la responsabilité pénale de l'auteur est restreinte sur le plan juridique et comment cette diminution se répercute sur l'appréciation de la faute. La faute globale doit être qualifiée et, au regard de l'art. 50 CP, le juge doit expressément mentionner le degré de gravité à prendre en compte. Dans un deuxième temps, il lui incombe de déterminer la peine hypothétique qui correspond à cette</w:t>
      </w:r>
    </w:p>
    <w:p>
      <w:r>
        <w:t>- 23 - faute. La peine ainsi fixée peut ensuite être, le cas échéant, modifiée en raison de facteurs liés à l'auteur (Täterkomponente) ainsi qu'en raison d'une éventuelle tentative selon l'art. 22 al. 1 CP (ATF 136 IV 55 précité consid. 5.7 ; TF 6B_746/2022 du 30 mars 2023 consid. 4.2 ; TF 6B_151/2022 du 10 novembre 2022 consid. 2.2).</w:t>
      </w:r>
    </w:p>
    <w:p>
      <w:r>
        <w:rPr>
          <w:b/>
        </w:rPr>
        <w:t>E. 3.1.4</w:t>
      </w:r>
    </w:p>
    <w:p>
      <w:r>
        <w:t>Conformément à l’art. 42 CP, le juge suspend en règle générale l’exécution d’une peine pécuniaire ou d’une peine privative de liberté de deux ans au plus lorsqu’une peine ferme ne paraît pas nécessaire pour détourner l’auteur d’autres crimes ou délits (al. 1). Le juge peut prononcer, en plus d’une peine avec sursis, une amende conformément à l’art. 106 CP (al. 4). En vertu de l’art. 44 al. 1 CP, si le juge suspend totalement ou partiellement l’exécution d’une peine, il impartit au condamné un délai d’épreuve de deux à cinq ans.</w:t>
      </w:r>
    </w:p>
    <w:p>
      <w:r>
        <w:rPr>
          <w:b/>
        </w:rPr>
        <w:t>E. 3.2</w:t>
      </w:r>
    </w:p>
    <w:p>
      <w:r>
        <w:t>En l'espèce, M.________ s'est rendu coupable de lésions corporelles simples qualifiées, voies de fait qualifiées, appropriation illégitime sans dessein d'enrichissement au préjudice de proches ou de familiers, injure, séquestration, tentative de contrainte sexuelle, contrainte sexuelle, viol et contravention à la loi fédérale sur les stupéfiants. Les considérations des premiers juges quant à la culpabilité du prévenu ne sont pas sujettes à critiques. La faute de M.________ est très lourde. Il ne fait preuve d'aucune empathie envers ses victimes, qu'il considère comme des filles inférieures, de peu de vertu, qui ne méritent dès lors pas de considération et qu'il n'a pas hésité à salir tout au long de ses auditions. Au jour de l'audience d'appel du 19 août 2024, six ans après les faits infligés à O.________, M.________ a persisté à les nier en se déclarant toujours innocent, ce qui témoigne de son absence de remise en question. De plus, le risque de récidive est décrit comme moyen à élevé par les experts. Il n'a fait preuve d'aucun remords et a récidivé en cours</w:t>
      </w:r>
    </w:p>
    <w:p>
      <w:r>
        <w:t>- 24 - d'enquête, pour des faits similaires aux premiers dénoncés. A charge, on retiendra également le concours d'infractions et la relativement longue durée des actes ainsi que leur répétition. On ne voit guère d'éléments à décharge. Compte tenu de la diminution légère de responsabilité qui allège un peu la culpabilité du prévenu, sans cela écrasante, la peine de 4 ans arrêtée par les premiers juges est adéquate et doit être confirmée, dès lors qu'avec une pleine et entière capacité de discernement elle aurait été de 5 ans. De cette peine, devront être déduites la détention provisoire, par 366 jours, et la détention pour des motifs de sûreté au jour du jugement du 26 août 2020, par 90 jours. La détention subie depuis le jugement de première instance doit aussi en être déduite. La peine pécuniaire de 20 jours-amende à 20 fr. le jour, sanctionnant l'injure, et l'amende de 800 fr., convertible en une peine privative de liberté de substitution de 16 jours en cas de non-paiement fautif, sanctionnant la consommation de produits stupéfiants, sont adéquates et peuvent être confirmées également. La peine privative de liberté étant arrêtée à 4 ans, la question du sursis entier ne se pose pas. Le prévenu doit être maintenu en détention pour des motifs de sûreté.</w:t>
      </w:r>
    </w:p>
    <w:p>
      <w:r>
        <w:rPr>
          <w:b/>
        </w:rPr>
        <w:t>E. 4</w:t>
      </w:r>
    </w:p>
    <w:p>
      <w:r>
        <w:t>M.________ a commis des infractions qui tombent sous le coup de l'art. 66a al. 1 let. h CP. En outre, son intégration professionnelle, économique et sociale est médiocre. Le prévenu est au bénéfice de l’AI et d’une curatelle ; il n’a pas de formation professionnelle et vit des prestations qu’il perçoit des assurances sociales et des prestations complémentaires et a des dettes. Enfin, il parle le portugais et a encore des oncles, tantes et cousins du côté paternel au Portugal. Partant, il ne rencontrera vraisemblablement pas davantage de difficultés de réinsertion dans ce pays qu’en Suisse. Il pourra par ailleurs conserver des contacts</w:t>
      </w:r>
    </w:p>
    <w:p>
      <w:r>
        <w:t>- 25 - avec sa famille en Suisse, par l’intermédiaire des moyens de communication modernes. Il ne s’expose donc pas à une situation personnelle grave en cas de renvoi dans son pays d’origine, qui offre des conditions d’existence décentes. En définitive, quand bien même M.________ est né en Suisse, où il a vécu toute sa vie et où vivent sa mère et ses sœurs, compte tenu de la gravité des infractions en cause, portant atteinte à des biens juridiques importants tels que l’intégrité sexuelle, du risque effectif de récidive et de ses perspectives de réinsertion au Portugal, l’intérêt public à l’éloignement de l’intéressé l’emporte sur l’intérêt privé de celui-ci à demeurer en Suisse. En conséquence, la mesure d’expulsion prononcée par les premiers juges doit être confirmée. Cela étant, au vu du fait que le prévenu, jeune, est né en Suisse et n’a pas encore été condamné pénalement, la durée de l’expulsion, fixée à 10 ans, est disproportionnée et doit être réduite à 5 ans.</w:t>
      </w:r>
    </w:p>
    <w:p>
      <w:r>
        <w:rPr>
          <w:b/>
        </w:rPr>
        <w:t>E. 5</w:t>
      </w:r>
    </w:p>
    <w:p>
      <w:r>
        <w:t>La condamnation de M.________ pour tentative de contrainte sexuelle et viol à l'encontre d'O.________ ayant été confirmée, il n'y a pas matière à revoir l'octroi des conclusions civiles à cette dernière, par 7'000 fr., avec intérêts à 5 % l'an à compter du 4 mars 2018, à titre d'indemnité pour tort moral. Il est en effet établi que les actes commis par le prévenu sur sa personne ont eu des conséquences psychiques indéniables. Le montant réclamé est raisonnable et adéquat. Etant donné que les autres prétentions réclamées par O.________ sont des dépens et qu'elle s'est vu désigner un conseil juridique gratuit, celles-ci seront par contre rejetées.</w:t>
      </w:r>
    </w:p>
    <w:p>
      <w:r>
        <w:rPr>
          <w:b/>
        </w:rPr>
        <w:t>E. 6</w:t>
      </w:r>
    </w:p>
    <w:p>
      <w:r>
        <w:t>Les considérants II. 9) et III du jugement de la Cour de céans du 15 janvier 2021, traitant de la levée du séquestre n° 10810, la restitution à M.________ de son téléphone mobile et la confiscation et la destruction des objets séquestrés sous fiche n° 10624, respectivement le recours de Me Luis Neves, restent valables et l'on peut s'y référer.</w:t>
      </w:r>
    </w:p>
    <w:p>
      <w:r>
        <w:rPr>
          <w:b/>
        </w:rPr>
        <w:t>E. 7.1</w:t>
      </w:r>
    </w:p>
    <w:p>
      <w:r>
        <w:t>Les frais de première instance doivent être mis à la charge de M.________ qui succombe (art. 426 al. 1 CPP [Code de procédure pénale du 5 octobre 2007 ; RS 312.0]). L'indemnité de Me Luis Neves ayant été</w:t>
      </w:r>
    </w:p>
    <w:p>
      <w:r>
        <w:t>- 26 - modifiée dans le jugement de la Cour de céans du 15 janvier 2021, en ce sens que ce n'est pas la somme de 17'705 fr. 90 qui lui est allouée mais celle de 18'542 fr. 15, TVA et débours compris, les frais de première instance seront arrêtés à 37'836 fr. 25 (37'000 -17'705.90 + 18'542.15) au lieu de 37'000 fr., tels que fixés en première instance.</w:t>
      </w:r>
    </w:p>
    <w:p>
      <w:r>
        <w:rPr>
          <w:b/>
        </w:rPr>
        <w:t>E. 7.2.1</w:t>
      </w:r>
    </w:p>
    <w:p>
      <w:r>
        <w:t>Les indemnités de Me Luis Neves et Me Dorothée Raynaud dans la cadre de la procédure d'appel antérieure à l’arrêt du Tribunal fédéral du 11 mars 2022 ont été arrêtées à 4'653 fr. 10, respectivement 2'165 fr. 95. Il s'avère que le chiffre VI du dispositif communiqué après l'audience d'appel contient une erreur, dans la mesure où il mentionne qu'une indemnité de défenseur d'office pour la procédure d'appel antérieure à l'arrêt du Tribunal fédéral du 11 mars 2022 d'un montant de 4'161 fr. 90, TVA et débours inclus, est allouée à Me Luis Neves. S'agissant d'une erreur manifeste, le dispositif sera modifié d'office en application de l'art. 83 al. 1 CPP.</w:t>
      </w:r>
    </w:p>
    <w:p>
      <w:r>
        <w:rPr>
          <w:b/>
        </w:rPr>
        <w:t>E. 7.2.2</w:t>
      </w:r>
    </w:p>
    <w:p>
      <w:r>
        <w:t>Les frais d'appel antérieurs à l’arrêt du Tribunal fédéral du 11 mars 2022 seront répartis comme suit : les trois quarts de l’émolument d’appel, totalisant 4'220 fr. et de l’indemnité allouée au défenseur d’office par 4'653 fr. 10, soit par 7'394 fr. 25, ainsi que l’indemnité allouée au conseil d’office par 2'165 fr. 95, seront mis à la charge de M.________ et le solde sera laissé à la charge de l’Etat.</w:t>
      </w:r>
    </w:p>
    <w:p>
      <w:r>
        <w:rPr>
          <w:b/>
        </w:rPr>
        <w:t>E. 7.2.3</w:t>
      </w:r>
    </w:p>
    <w:p>
      <w:r>
        <w:t>M.________ ne sera tenu de rembourser à l’Etat les trois quarts de ces indemnités que lorsque sa situation financière le permettra.</w:t>
      </w:r>
    </w:p>
    <w:p>
      <w:r>
        <w:rPr>
          <w:b/>
        </w:rPr>
        <w:t>E. 7.3</w:t>
      </w:r>
    </w:p>
    <w:p>
      <w:r>
        <w:t>Le considérant 5 du jugement de la Cour de céans du 19 juillet 2022, statuant sur les indemnités de Me Luis Neves et Me Dorothée Raynaud ains que sur les frais d'appel postérieurs à l’arrêt du Tribunal fédéral du 11 mars 2022, reste valable et l'on peut s'y référer.</w:t>
      </w:r>
    </w:p>
    <w:p>
      <w:r>
        <w:t>- 27 -</w:t>
      </w:r>
    </w:p>
    <w:p>
      <w:r>
        <w:rPr>
          <w:b/>
        </w:rPr>
        <w:t>E. 7.4.1</w:t>
      </w:r>
    </w:p>
    <w:p>
      <w:r>
        <w:t>Pour la procédure d'appel postérieure à l'arrêt du 8 février 2024 du Tribunal fédéral, Me Luis Neves a produit une liste d'opérations faisant état de 15h35 d'activité (P. 252), dont il y a lieu de s'écarter pour les raisons suivantes. Les 2h45 « d'étude de dossier », tant le 20 février que le 4 mars 2024, sont plus qu'excessives au vu de l'arrêt très clair du Tribunal fédéral du 8 février 2024. Un temps de 30 minutes pour sa lecture est jugée suffisante. Il en va de même des opérations des 16 et 19 août 2024 « d'étude de dossier », lesquelles seront ramenées à 1h au total. Enfin, l'audience ayant duré 55 minutes, soit moins d'une heure, les 30 minutes supplémentaires estimées seront retranchées. Il s'ensuit une activité de 4h35 d'avocat breveté au tarif horaire de 180 fr. (art. 2 al. 1 let. a et 3 al. 2 RAJ [règlement sur l'assistance judiciaire en matière civile du 7 décembre 2010 ; BLV 211.02.3] par renvoi de l’art. 26b TFIP [tarif des frais de procédure et indemnités en matière pénale du 28 septembre 2010 ; BLV 312.03.1]), soit 825 francs. Viennent s’y ajouter des débours forfaitaires à hauteur de 2 % des honoraires admis, soit 16 fr. 50, une vacation à 118 fr. 30 correspondant à 169 km à 70 centimes le km et la TVA au taux de 8,1 % sur le tout, par 77 fr. 74. L’indemnité d’office s’élève au total à 1'038 fr. 54. De son côté, le conseil d'office d'O.________, Me Dorothée Raynaud, a produit une liste d'opérations faisant état de 5h20 d'activité (P. 253). Les 2h de préparation d'audience et de rédaction de plaidoirie seront ramenées à 1h pour les mêmes raisons que retenues ci-avant s'agissant de l'indemnité de Me Luis Neves. En effet, l'arrêt du 8 février 2024 du Tribunal fédéral est très clair et ne nécessite pas de longues préparations juridiques. En outre, seule 1h sera allouée pour l'audience d'appel et non 1h20 ; de surcroît au tarif horaire de 110 fr. dès lors que c'est l'avocate- stagiaire qui s'y est présentée. Il s'ensuit une activité de 2h59 au tarif horaire de 180 fr. et 1h au tarif de 110 fr. de l'heure, soit 647 fr., auxquels il convient d'ajouter des débours forfaitaires à hauteur de 2 % des honoraires admis, soit 12 fr. 94, une vacation à 80 fr. et la TVA au taux de 8,1 % sur le tout, par 59 fr. 93. L’indemnité d’office s’élève au total à 799 fr. 87.</w:t>
      </w:r>
    </w:p>
    <w:p>
      <w:r>
        <w:t>- 28 - Il s’avère que les chiffre XIII et XIV du dispositif communiqué après l’audience d’appel contiennent une erreur, dans la mesure où il mentionne qu’une indemnité de défenseur d'office pour la procédure d'appel d'un montant de 852 fr. 80, TVA et débours inclus, est allouée à Me Luis Neves, et de 987 fr. 95, TVA et débours inclus, est allouée à Me Dorothée Raynaud. S’agissant d’une erreur manifeste, le dispositif sera modifié d’office en application de l’art. 83 al. 1 CPP.</w:t>
      </w:r>
    </w:p>
    <w:p>
      <w:r>
        <w:rPr>
          <w:b/>
        </w:rPr>
        <w:t>E. 7.4.2</w:t>
      </w:r>
    </w:p>
    <w:p>
      <w:r>
        <w:t>Vu l’issue de la cause, les frais d'appel postérieurs à l'arrêt du Tribunal fédéral du 8 février 2024, constitués des émoluments du présent jugement et de l'audience du 19 août 2024, par 2'710 fr. (21 pages et moins d'une heure d'audience ; cf. art. 21 al. 1 et 2 TFIP), auxquels s'ajoutent l'indemnité du défenseur d'office de M.________ et du conseil juridique gratuit de O.________, soit au total par 4'548 fr. 41, seront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