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PE18.004293 vom 12. Oktober 2018</w:t>
      </w:r>
    </w:p>
    <w:p>
      <w:r>
        <w:t>VD Tribunal cantonal, 2018-10-12, FR</w:t>
      </w:r>
    </w:p>
    <w:p>
      <w:r>
        <w:rPr>
          <w:b/>
        </w:rPr>
        <w:t xml:space="preserve">Quelle: </w:t>
      </w:r>
      <w:r>
        <w:t>https://mcp.opencaselaw.ch/entscheid/vd_gerichte_PE18.004293</w:t>
      </w:r>
    </w:p>
    <w:p>
      <w:r>
        <w:t>FR: VD_GERICHTE PE18.004293 du 12 octobre 2018</w:t>
      </w:r>
    </w:p>
    <w:p>
      <w:r>
        <w:t>IT: VD_GERICHTE PE18.004293 del 12 ottobre 2018</w:t>
      </w:r>
    </w:p>
    <w:p>
      <w:pPr>
        <w:pStyle w:val="Heading2"/>
      </w:pPr>
      <w:r>
        <w:t>Erwägungen</w:t>
      </w:r>
    </w:p>
    <w:p>
      <w:r>
        <w:rPr>
          <w:b/>
        </w:rPr>
        <w:t>E. 1</w:t>
      </w:r>
    </w:p>
    <w:p>
      <w:r>
        <w:t>Les parties peuvent attaquer une ordonnance de classement rendue par le Ministère public en application des art. 319 ss CPP. Le recours s’exerce auprès de l’autorité de recours (cf. art. 20 al. 1 let. b CPP) qui est, dans le canton de Vaud, la Chambre des recours pénale du Tribunal cantonal (art. 13 LVCPP [Loi d’introduction du Code de procédure</w:t>
      </w:r>
    </w:p>
    <w:p>
      <w:r>
        <w:t>- 6 -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Y.________ est recevable.</w:t>
      </w:r>
    </w:p>
    <w:p>
      <w:r>
        <w:rPr>
          <w:b/>
        </w:rPr>
        <w:t>E. 2.1</w:t>
      </w:r>
    </w:p>
    <w:p>
      <w:r>
        <w:t>Le recourant reproche au Ministère public d’avoir mis V.________ au bénéfice d’un classement. Il fait valoir qu’il aurait identifié le prénommé comme étant son agresseur, d’abord sur une planche photographique, puis lors de l’audition de conciliation du 24 mai 2018, que la crédibilité de C.________ serait limitée, voire inexistante, et que l’un des témoins de la scène, le dénommé [...], n’aurait pas été entendu.</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w:t>
      </w:r>
    </w:p>
    <w:p>
      <w:r>
        <w:t>- 7 -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références citées ; TF 6B_511/2018 du 25 juillet 2018). L'autorité de recours ne saurait ainsi confirmer un classement au seul motif qu'une condamnation n'apparaît pas plus probable qu'un acquittement (TF 6B_874/2017 du 18 avril 2018 consid. 5.1 ; TF 6B_1177/2017 du 16 avril 2018 consid. 2.1 ; TF 6B_1356/2016 du 5 janvier 2018 consid. 3.3.3).</w:t>
      </w:r>
    </w:p>
    <w:p>
      <w:r>
        <w:rPr>
          <w:b/>
        </w:rPr>
        <w:t>E. 2.2.2</w:t>
      </w:r>
    </w:p>
    <w:p>
      <w:r>
        <w:t>et les arrêts cités, JdT 2017 IV 357 ;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JdT 2017 IV 357 ; TF 6B_874/2017 précité consid. 5.1). Déterminer si l'autorité précédente a correctement compris la portée du principe in dubio pro duriore et s'est fondée sur une notion juridiquement correcte du « soupçon suffisant » visé par l'art. 319 al. 1 let.</w:t>
      </w:r>
    </w:p>
    <w:p>
      <w:r>
        <w:t>- 8 - a CPP est une question de droit. Le principe in dubio pro duriore,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in dubio pro reo, ou lorsqu'elle a méconnu de toute autre manière le principe in dubio pro duriore (ATF 143 IV 241 consid. 2.3.3, JdT 2017 IV 357 ; TF 6B_874/2017 précité consid. 5.1 ; TF 6B_1177/2017 précité consid. 2.1).</w:t>
      </w:r>
    </w:p>
    <w:p>
      <w:r>
        <w:rPr>
          <w:b/>
        </w:rPr>
        <w:t>E. 2.3</w:t>
      </w:r>
    </w:p>
    <w:p>
      <w:r>
        <w:t>En l’espèce, Y.________ a été entendu à deux reprises. De manière constante, il a en substance expliqué que l’altercation du</w:t>
      </w:r>
    </w:p>
    <w:p>
      <w:r>
        <w:rPr>
          <w:b/>
        </w:rPr>
        <w:t>E. 6</w:t>
      </w:r>
    </w:p>
    <w:p>
      <w:r>
        <w:t>décembre 2017 s’était déroulée en deux temps. En premier lieu, C.________ lui a donné un coup de poing au niveau de la tempe gauche – faits pour lesquels le prénommé a été condamné par ordonnance pénale. En second lieu, à la suite de cette première altercation, trois individus l’auraient projeté au sol, puis l’un d’eux l’aurait frappé avec une clé. V.________, également entendu à deux reprises, a nié toute implication dans cette seconde phase de l’altercation. La Procureure a retenu que les versions du recourant et de V.________ étaient contradictoires et qu’aucun élément au dossier ne venait infirmer les allégations du prénommé et de C.________, si bien qu’elle a considéré que V.________ devait être mis au bénéfice de ses déclarations et donc d’un classement de la procédure. Cependant, C.________ connait le prénommé car il était, au moment des faits, son collègue de travail. De plus, il a été condamné pour lésions corporelles simples pour les faits relatifs à la première phase de l’altercation. Ainsi, on ne peut exclure qu’il ait, d’une part, été tenté de disculper V.________ ou, d’autre part, été tenté de minimiser l’implication d’un éventuel complice. En outre, et surtout, on relève que le tiers auquel le recourant voulait sous-louer sa place de parc, le dénommé [...], semble avoir, comme l’a déclaré à deux reprises l’intéressé (PV aud. 6, p. 3 ; PV aud. 8, p. 2) assisté à toute l’altercation. Or, quand bien même ce témoin paraît avoir indiqué</w:t>
      </w:r>
    </w:p>
    <w:p>
      <w:r>
        <w:t>- 9 - oralement à la police n’avoir rien vu ni entendu (P. 4, p. 8), il n’a pas été entendu formellement par la Procureure, ni par la police. Au demeurant, il est douteux que celui-ci n’ait rien vu ni entendu, puisqu’il accompagnait le recourant aux fins de discuter de la sous-location de la place de stationnement litigieuse. On ne se trouve donc pas dans l’hypothèse où plus aucune mesure d’instruction ne pourrait être menée. Au regard de ce qui précède, la Procureure ne pouvait à ce stade pas rendre une ordonnance de classement. Il lui appartenait d’entendre le dénommé [...] et de l’interroger sur les faits de la cause, ce d’autant plus qu’Y.________ a formellement reconnu le prévenu V.________ comme étant la personne qui lui aurait frappé la tête contre le sol et donné des coups avec une clé lorsqu’il était à terre – il a déclaré : « je reconnais très bien son visage » (PV aud. 7, p. 2) –, ce qu’il a confirmé lors de l’audience de conciliation du 24 mai 2018 (PV aud. 8, p. 2). Dans ces conditions, en l’état, un acquittement de V.________ n’apparaît pas plus vraisemblable qu’une condamnation. Le Ministère public devra donc rependre son instruction et procéder à l’audition du témoin [...]. Ensuite, si cette mesure d’instruction ne permet pas de départager les versions des protagonistes, le Ministère public devra dresser un acte d’accusation à l’encontre de V.________. 3. En définitive, le recours, bien fondé, doit être admis. L’ordonnance de classement rendue le 7 septembre 2018 en faveur de V.________ doit être annulée et le dossier de la cause renvoyé au Ministère public de l’arrondissement de Lausanne pour qu’il procède dans le sens des considérants. Les frais de la procédure de recours, constitués en l'espèce du seul émolument d'arrêt, par 1’100 fr. (art. 422 al. 1 CPP et 20 al. 1 TFIP [Tarif des frais de procédure et indemnités en matière pénale du 28 septembre 2010 ; RSV 312.03.1]), seront laissés à la charge de l’Etat (art. 428 al. 4 CPP).</w:t>
      </w:r>
    </w:p>
    <w:p>
      <w:r>
        <w:t>- 10 - Le recourant, qui a procédé avec l’assistance d’un avocat de choix et qui a obtenu gain de cause, a droit, de la part de l’Etat, à une indemnité pour les dépenses occasionnées par la procédure de recours (art. 436 al. 1 et 3 CPP). Au vu du mémoire de recours produit, cette indemnité sera fixée à 600 fr. (2 heures à 300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27 juin 2018/493) –, par 46 fr. 20, soit à 646 fr. 20 au total. Par ces motifs, la Chambre des recours pénale prononce : I. Le recours est admis. II. L’ordonnance du 7 septembre 2018 est annulée. III. Le dossier de la cause est renvoyé au Ministère public de l’arrondissement de Lausanne pour qu’il procède dans le sens des considérants. IV. Les frais d’arrêt, par 1’100 fr. (mille cent francs), sont laissés à la charge de l’Etat. V. Une indemnité d’un montant de 646 fr. 20 (six cent quarante- six francs et vingt centimes) est allouée à Y.________ pour les dépenses occasionnées par la procédure de recours, à la charge de l’Etat. VI. L’arrêt est exécutoire. Le président : Le greffier :</w:t>
      </w:r>
    </w:p>
    <w:p>
      <w:r>
        <w:t>- 11 - Du Le présent arrêt, dont la rédaction a été approuvée à huis clos, est notifié, par l'envoi d'une copie complète, à : - Me Camille Piguet, avocate (pour Y.________), - M. V.________,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