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PE18.003826 vom 28. September 2018</w:t>
      </w:r>
    </w:p>
    <w:p>
      <w:r>
        <w:t>VD Tribunal cantonal, 2018-09-28, FR</w:t>
      </w:r>
    </w:p>
    <w:p>
      <w:r>
        <w:rPr>
          <w:b/>
        </w:rPr>
        <w:t xml:space="preserve">Quelle: </w:t>
      </w:r>
      <w:r>
        <w:t>https://mcp.opencaselaw.ch/entscheid/vd_gerichte_PE18.003826</w:t>
      </w:r>
    </w:p>
    <w:p>
      <w:r>
        <w:t>FR: VD_GERICHTE PE18.003826 du 28 septembre 2018</w:t>
      </w:r>
    </w:p>
    <w:p>
      <w:r>
        <w:t>IT: VD_GERICHTE PE18.003826 del 28 settembre 2018</w:t>
      </w:r>
    </w:p>
    <w:p>
      <w:pPr>
        <w:pStyle w:val="Heading2"/>
      </w:pPr>
      <w:r>
        <w:t>Erwägungen</w:t>
      </w:r>
    </w:p>
    <w:p>
      <w:r>
        <w:rPr>
          <w:b/>
        </w:rPr>
        <w:t>E. 4</w:t>
      </w:r>
    </w:p>
    <w:p>
      <w:r>
        <w:t>L’appelant, qui conclut à son acquittement, ne conteste pas formellement la quotité de l’amende. Examinée d’office, celle-ci, fixée en application des critères légaux à charge et à décharge, ne prête pas le flanc à la critique. L’amende de 650 fr. prononcée en première instance doit ainsi être confirmée.</w:t>
      </w:r>
    </w:p>
    <w:p>
      <w:r>
        <w:rPr>
          <w:b/>
        </w:rPr>
        <w:t>E. 5</w:t>
      </w:r>
    </w:p>
    <w:p>
      <w:r>
        <w:t>En définitive, l’appel interjeté par T.________ doit être rejeté dans la mesure où il est recevable. Vu l’issue de la cause, les frais d’appel, constitués en l’espèce de l’émolument de jugement, par 990 fr. (art. 21 al. 1 TFIP [Tarif des frais de procédure et indemnités en matière pénale du 28 septembre 2010 ;</w:t>
      </w:r>
    </w:p>
    <w:p>
      <w:r>
        <w:t>- 13 -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