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PE18.003552 vom 29. Juni 2018</w:t>
      </w:r>
    </w:p>
    <w:p>
      <w:r>
        <w:t>VD Tribunal cantonal, 2018-06-29, FR</w:t>
      </w:r>
    </w:p>
    <w:p>
      <w:r>
        <w:rPr>
          <w:b/>
        </w:rPr>
        <w:t xml:space="preserve">Quelle: </w:t>
      </w:r>
      <w:r>
        <w:t>https://mcp.opencaselaw.ch/entscheid/vd_gerichte_PE18.003552</w:t>
      </w:r>
    </w:p>
    <w:p>
      <w:r>
        <w:t>FR: VD_GERICHTE PE18.003552 du 29 juin 2018</w:t>
      </w:r>
    </w:p>
    <w:p>
      <w:r>
        <w:t>IT: VD_GERICHTE PE18.003552 del 29 giugno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interjeté dans le délai légal et dans les formes prescrites (art. 385 al. 1 CPP) auprès de l’autorité compétente, par le plaignant qui a qualité pour recourir (art. 382 al. 1 CPP), le recours est recevable, sous réserve des moyens mentionnés sous chiffre 4 ci-après.</w:t>
      </w:r>
    </w:p>
    <w:p>
      <w:r>
        <w:rPr>
          <w:b/>
        </w:rPr>
        <w:t>E. 1.14</w:t>
      </w:r>
    </w:p>
    <w:p>
      <w:r>
        <w:t>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all., Petit commentaire CP, Bâle 2017, n. 52 ad art. 173 CP; Favre/Pellet/Stoudmann, Code pénal annoté, 3e éd., Lausanne 2007/2011, n. 1.11 ad art. 14 CP; de Werra, L’avocat et la diffamation [Der Anwalt und die üble Nachrede, traduit de l’allemand], in : L’avocat suisse, n° 70, décembre 1980, p. 14). Ainsi,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consid. II. 3.3).</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w:t>
      </w:r>
    </w:p>
    <w:p>
      <w:r>
        <w:t>- 4 -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w:t>
      </w:r>
    </w:p>
    <w:p>
      <w:r>
        <w:t>- 5 - objective selon la signification qu'un destinataire non prévenu doit lui donner dans les circonstances d'espèce (ATF 137 IV 313 consid. 2.1.3).</w:t>
      </w:r>
    </w:p>
    <w:p>
      <w:r>
        <w:rPr>
          <w:b/>
        </w:rPr>
        <w:t>E. 3.2</w:t>
      </w:r>
    </w:p>
    <w:p>
      <w:r>
        <w:t>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2007, n.</w:t>
      </w:r>
    </w:p>
    <w:p>
      <w:r>
        <w:rPr>
          <w:b/>
        </w:rPr>
        <w:t>E. 3.3</w:t>
      </w:r>
    </w:p>
    <w:p>
      <w:r>
        <w:t>En l’occurrence, dans son recours, A.T.________ se contente d’affirmer que l’avocat intimé aurait tenu des propos dénigrants et gratuits à son encontre dans ses écritures, soit notamment le fait qu’il exercerait une activité lucrative non déclarée et qu’il serait dans un état psychologique délicat (P. 7 p. 3 ch. 8, 17 et 23). Ce faisant, le recourant n’expose pas en quoi la motivation de l’ordonnance serait fausse. De plus, et surtout, tout propos de nature à ridiculiser une personne ne constitue pas une atteinte à l'honneur protégé. On relèvera encore que, compte</w:t>
      </w:r>
    </w:p>
    <w:p>
      <w:r>
        <w:t>- 6 - tenu des circonstances dans lesquelles les propos litigieux ont été tenus, à savoir dans le cadre d'une procédure civile conflictuelle, ceux-ci peuvent d'autant moins être interprétés objectivement comme une atteinte à l'honneur du recourant, les affirmations en cause ne sortant pas de ce qu’un avocat est en droit d’affirmer au nom de sa cliente dans une procédure de divorce.</w:t>
      </w:r>
    </w:p>
    <w:p>
      <w:r>
        <w:rPr>
          <w:b/>
        </w:rPr>
        <w:t>E. 4</w:t>
      </w:r>
    </w:p>
    <w:p>
      <w:r>
        <w:t>Enfin, pour autant que l’on puisse les comprendre, maints reproches formulés par le recourant ne relèvent pas du droit pénal mais du droit civil ou de la déontologie de Me R.________ et n’ont ainsi pas à être examinés ici.</w:t>
      </w:r>
    </w:p>
    <w:p>
      <w:r>
        <w:rPr>
          <w:b/>
        </w:rPr>
        <w:t>E. 5</w:t>
      </w:r>
    </w:p>
    <w:p>
      <w:r>
        <w:t>En définitive, le recours, manifestement mal fondé, doit être rejeté dans la mesure où il est recevable (cf. consid. 4 supra), sans autre échange d'écritures (art. 390 al. 2 CPP), et l'ordonnance attaquée confirmée. Quant à la requête de récusation du 21 juin 2018, elle est sans objet dès lors que le juge cantonal [...] ne siège pas dans la présente composition.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La requête tendant à l’octroi de l’assistance judiciaire gratuite pour la procédure de recours doit être rejetée, le recours étant d'emblée dénué de chance de succès (CREP 21 novembre 2017/806 ; CREP 13 août 2015/478 et les références citées ; Ruckstuhl, in : Niggli/Heer/Wiprächtiger [éd.], Basler Kommentar, Schweizerische Strafprozessordnung, Jugendstrafprozessordnung, Art. 1-195 StPO, 2e éd., Bâle 2014, n. 10 ad art. 132 CPP).</w:t>
      </w:r>
    </w:p>
    <w:p>
      <w:r>
        <w:t>- 7 - Par ces motifs, la Chambre des recours pénale prononce : I. La requête de récusation est sans objet. II. Le recours est rejeté dans la mesure où il est recevable. III. L’ordonnance du 12 mars 2018 est confirmée. IV. La requête tendant à l’octroi de l’assistance judiciaire gratuite est rejetée. V. Les frais de la procédure de recours, par 660 fr. (six cent soixante francs), sont mis à la charge de A.T.________. VI. L’arrêt est exécutoire. Le vice-président : La greffière : Du Le présent arrêt, dont la rédaction a été approuvée à huis clos, est notifié, par l'envoi d'une copie complète, à : - M. A.T.________,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