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PE18.003341 vom 12. März 2019</w:t>
      </w:r>
    </w:p>
    <w:p>
      <w:r>
        <w:t>VD Tribunal cantonal, 2019-03-12, FR</w:t>
      </w:r>
    </w:p>
    <w:p>
      <w:r>
        <w:rPr>
          <w:b/>
        </w:rPr>
        <w:t xml:space="preserve">Quelle: </w:t>
      </w:r>
      <w:r>
        <w:t>https://mcp.opencaselaw.ch/entscheid/vd_gerichte_PE18.003341</w:t>
      </w:r>
    </w:p>
    <w:p>
      <w:r>
        <w:t>FR: VD_GERICHTE PE18.003341 du 12 mars 2019</w:t>
      </w:r>
    </w:p>
    <w:p>
      <w:r>
        <w:t>IT: VD_GERICHTE PE18.003341 del 12 marzo 2019</w:t>
      </w:r>
    </w:p>
    <w:p>
      <w:pPr>
        <w:pStyle w:val="Heading2"/>
      </w:pPr>
      <w:r>
        <w:t>Erwägungen</w:t>
      </w:r>
    </w:p>
    <w:p>
      <w:r>
        <w:rPr>
          <w:b/>
        </w:rPr>
        <w:t>E. 4.1</w:t>
      </w:r>
    </w:p>
    <w:p>
      <w:r>
        <w:t>L'appelante conteste ensuite la peine en tant que telle. Les premiers juges n'auraient, à tort, pas tenu compte, à décharge, du maigre butin, du mode d'exécution désorganisé du brigandage, du jeune âge de la prévenue, du fait qu'elle vit chez ses parents avec ses frères et sœurs, du fait qu'elle est en formation, de sa scoliose et de son bon comportement depuis les faits. C'est également à tort que le Tribunal correctionnel aurait ignoré sa prise de conscience de la gravité de ses actes, qui serait notamment illustrée par le suivi psychologique volontaire dont elle bénéficie, ainsi que de ses regrets et excuses, qu'elle aurait maintes fois répétés et également adressés dans un courrier à l'attention de G.________. Elle se prévaut encore d'un changement de comportement social, notamment au niveau de ses relations. Enfin, elle se prévaut de l'absence d'antécédents pénaux ainsi que de l'effet que la peine est susceptible d'avoir sur son avenir professionnel, familial et médical. W.________ invoque enfin une violation de l'art. 49 al. 1 CP, dans la mesure où le Tribunal correctionnel a retenu que le concours d'infractions alourdirait la peine, alors qu'hormis le brigandage, la seule autre infraction retenue à son encontre est une contravention à la loi fédérale sur les stupéfiants.</w:t>
      </w:r>
    </w:p>
    <w:p>
      <w:r>
        <w:rPr>
          <w:b/>
        </w:rPr>
        <w:t>E. 4.2.1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w:t>
      </w:r>
    </w:p>
    <w:p>
      <w:r>
        <w:t>- 25 -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w:t>
      </w:r>
    </w:p>
    <w:p>
      <w:r>
        <w:rPr>
          <w:b/>
        </w:rPr>
        <w:t>E. 4.2.2</w:t>
      </w:r>
    </w:p>
    <w:p>
      <w:r>
        <w:t>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(ATF 142 IV 265 consid. 2.3.2; ATF 137 IV 57 consid. 4.3.1).</w:t>
      </w:r>
    </w:p>
    <w:p>
      <w:r>
        <w:rPr>
          <w:b/>
        </w:rPr>
        <w:t>E. 4.3</w:t>
      </w:r>
    </w:p>
    <w:p>
      <w:r>
        <w:t>En l'espèce, l'essentiel des éléments soulevés n'a pas l'effet à décharge invoqué par l'appelante. Tout d'abord, le fait qu'elle se soit rapidement décidée, avec ses comparses, à commettre – de manière organisée ou non – une infraction grave pour un butin modeste n'est pas de nature à atténuer sa culpabilité, mais révèle au contraire une propension au passage à l'acte même pour un montant modique, ce qui</w:t>
      </w:r>
    </w:p>
    <w:p>
      <w:r>
        <w:t>- 26 - est du reste inquiétant. Ensuite, W.________ était âgée de 21 ans au moment des faits, soit largement majeure et à un âge où elle était censée appréhender pleinement le caractère illicite et la gravité d'un brigandage. Le fait de vivre chez ses parents n'est pas un critère pertinent pour la fixation de sa peine, pas plus que d'être affectée par une scoliose. En tout cas, l'état de santé de l'appelante ne l'a pas empêchée d'assumer un rôle de premier plan dans la commission d'un crime. Le bon comportement depuis les faits, soit durant un peu plus d'une année, constitue la norme et ne mérite pas qu'il soit fait preuve d'une indulgence particulière. Quant à l'absence d'antécédent, elle a, de jurisprudence constante, un effet neutre sur la peine. C'est également à juste titre que les premiers juges ont relativisé la prise de conscience ainsi que les regrets exprimés. On rappellera en effet que W.________ a d'abord cherché à se faire passer pour une victime, allant même jusqu'à déposer plainte, puis à mentir à chacune de ses auditions durant l'enquête, avant d'être contrainte à passer aux aveux alors qu'elle était confrontée aux déclarations de ses comparses. Elle a en outre persisté à minimiser son rôle et sa participation jusqu'en appel, où elle continue à rejeter la faute sur I.________, malgré l'évidence. Cette attitude permet difficilement de croire à la sincérité de ses excuses et à une prise de conscience suffisante. Elle a du reste encore cherché à se faire passer pour une victime et à minimiser ses actes à l'audience d'appel. Enfin, le suivi psychologique initié par l'appelante semble avoir débuté antérieurement aux faits et être lié à de l'anxiété et à des difficultés à accepter sa maladie. En revanche, c'est à tort que les premiers juges ont considéré que le concours devait alourdir la peine, puisque les deux infractions retenues à l'encontre de W.________ ne sont pas passibles du même genre de peine et qu'elle a du reste été condamnée à une amende pour la contravention à la loi fédérale sur les stupéfiants. Par ailleurs, elle a été condamnée à la même peine que I.________, dont la participation au brigandage était identique, et alors que ce dernier a également été condamné pour violation de domicile et infractions contre la loi fédérale sur les étrangers.</w:t>
      </w:r>
    </w:p>
    <w:p>
      <w:r>
        <w:t>- 27 - Pour le reste, come déjà exposé ci-avant, la culpabilité de W.________ reste lourde à très lourde, dans la mesure où elle a tenu un rôle central dans le brigandage. Il convient également de tenir compte de son défaut de collaboration à l'enquête, de sa faible prise de conscience et de ses excuses de façade. La peine privative de liberté de 32 mois qui lui a été infligée sera donc réduite à 30 mois pour tenir compte de ce qui précède. La partie ferme de la sanction demeurera arrêtée à 12 mois, pour des raisons de prévention spéciale, vu ce qui a été dit au sujet de la prise de conscience, ce qui devrait du reste permettre à l'appelante de poursuivre sa formation en bénéficiant d'un régime de détention allégé. La partie avec sursis sera abaissée à 18 mois, et non à 20 mois comme faussement indiqué dans le dispositif notifié aux parties le 11 juillet 2019. S'agissant d'une contradiction, le chiffre XIII du dispositif sera rectifié en ce sens, en application de l'art. 83 al. 1 CPP.</w:t>
      </w:r>
    </w:p>
    <w:p>
      <w:r>
        <w:rPr>
          <w:b/>
        </w:rPr>
        <w:t>E. 5</w:t>
      </w:r>
    </w:p>
    <w:p>
      <w:r>
        <w:t>Appel de I.________</w:t>
      </w:r>
    </w:p>
    <w:p>
      <w:r>
        <w:rPr>
          <w:b/>
        </w:rPr>
        <w:t>E. 5.1</w:t>
      </w:r>
    </w:p>
    <w:p>
      <w:r>
        <w:t>L’appelant se prévaut d'un élément nouveau, soit de l’ordonnance rendue le 12 avril 2019 par le Tribunal des mesures de contrainte, constatant que ses conditions de détention à la Prison du Bois- Mermet étaient illicites. Il conclut à sa libération immédiate, dans la mesure où il conviendrait de déduire 112,6 jours de la peine prononcée à titre de réparation pour avoir été détenu dans des conditions illicites, le solde étant indemnisé en argent.</w:t>
      </w:r>
    </w:p>
    <w:p>
      <w:r>
        <w:rPr>
          <w:b/>
        </w:rPr>
        <w:t>E. 5.2</w:t>
      </w:r>
    </w:p>
    <w:p>
      <w:r>
        <w:t>Selon la jurisprudence, lorsqu’une irrégularité constitutive d’une violation d’une garantie conventionnelle ou constitutionnelle a entaché la procédure relative à la détention provisoire, celle-ci peut être réparée par une décision de constatation (ATF 140 I 246 consid. 2.5.1).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w:t>
      </w:r>
    </w:p>
    <w:p>
      <w:r>
        <w:t>- 28 - d’examiner les possibles conséquences des violations constatées, par exemple par le biais d’une indemnisation fondée sur l’art. 431 CPP ou, cas échéant, par une réduction de la peine (ATF 142 IV 245 consid. 4.1; ATF 141 IV 349 consid. 2.1). Aux termes de l’art. 431 al. 1 CPP, si le prévenu a, de manière illicite, fait l’objet de mesures de contrainte, l’autorité pénale lui alloue une juste indemnité et réparation du tort moral. S’agissant du mode et de l’étendue de l’indemnisation fondée sur les art. 429 ss CPP, il n’est pas exclu de s’inspirer des règles générales des art. 41 ss CO (Code des obligations, Loi fédérale complétant le Code civil suisse du 30 mars 1911 ; RS 220). Ces dispositions accordent au juge un large pouvoir d’appréciation, que le Tribunal fédéral ne revoit qu’avec retenue. En vertu de l’art. 43 CO, une réparation en nature n’est pas exclue (ATF 142 IV 245 consid. 4.1).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TF 6B_352/2018 précité consid. 6.5.1; TF 6B_1395/2016 précité consid. 1.1 et les références citées). Une période de détention dans des conditions illicites porte moins préjudice au prévenu qu'une détention injustifiée, la privation de liberté étant, dans le premier cas, légitime. Le Tribunal fédéral admet ainsi que l'on peut s'écarter du montant de 200 fr. par jour en cas de détention injustifiée et qu'un montant de 50 fr. par jour est approprié pour une détention dans des conditions illicites. Il a en outre admis un montant de l'ordre de 20 à 25 fr. par jour en cas d'espace insuffisant lorsque la surface disponible n'est inférieure que de 0,17 m2 par rapport au standard recommandé (TF 6B_1057/2015 du 25 mai 2016 consid. 5.3).</w:t>
      </w:r>
    </w:p>
    <w:p>
      <w:r>
        <w:t>- 29 - Il appartient au demandeur d'invoquer et de prouver les atteintes subies (ATF 135 IV 43 consid. 4.1 p. 47; 117 IV 209 consid. 4b p. 218).</w:t>
      </w:r>
    </w:p>
    <w:p>
      <w:r>
        <w:rPr>
          <w:b/>
        </w:rPr>
        <w:t>E. 5.3</w:t>
      </w:r>
    </w:p>
    <w:p>
      <w:r>
        <w:t>En l’occurrence, I.________ a été détenu en exécution anticipée de peine à la prison du Bois-Mermet durant 338 jours. Selon les constatations du Tribunal des mesures de contrainte, cette détention s'est déroulée dans des conditions illicites en raison d'un espace insuffisant à disposition dans la cellule no 358, que l'intéressé occupe toujours à ce jour, et ce depuis le 28 février 2019. I.________ n'a ainsi pas disposé d'un espace suffisant en cellule durant 134 jours. Cette détention a également été illicite pendant toute sa durée, en raison de facteurs concomitants, tels que le manque d'intimité en cellule double, ainsi que de problèmes liés à l'isolation et à l'aération. L'appelant a donc passé 341 jours de détention dans des conditions illicites, si l'on tient encore compte des 3 jours de détention provisoire passés dans de telles conditions au terme du jugement attaqué. En outre, à ce jour, I.________ a été détenu au total durant 509 jours, soit 29 jours de plus que la partie ferme de sa peine (16 X 30 = 480). Il s'ensuit en premier lieu que I.________ doit être immédiatement libéré, pour autant qu'il ne soit pas détenu pour une autre cause, dès lors que, se trouvant détenu sous le régime de l'exécution anticipée de peine, ce dernier a exécuté l'entier de la peine ferme à laquelle il a été condamné. Les 29 jours qu'il a purgés en trop ne donnent pas droit à une quelconque indemnisation, sous réserve du caractère illicite de cette détention pour d'autres raisons, qui sera examiné ci-après, dans la mesure où ces jours sont couverts par la peine totale prononcée, de 32 mois. Il n'y a en outre pas lieu d'ordonner sa détention pour des motifs de sûreté en vue d'assurer l'exécution de son renvoi, comme le préconise le Ministère public dans ses déterminations, dans la mesure où l'intéressé n'a été condamné qu'à une occasion pour infraction à la loi sur les étrangers et que, ressortissant belge, il n'a aucune raison de ne pas collaborer à son renvoi.</w:t>
      </w:r>
    </w:p>
    <w:p>
      <w:r>
        <w:t>- 30 - Dans la mesure où l'emprisonnement de I.________ doit prendre fin ce jour, la détention qu'il a subie dans des conditions illicites ne peut qu'être indemnisée en argent. Les arguments avancés par l'appelant et le Ministère public concernant le ratio d'une éventuelle réduction de peine sont dès lors sans pertinence. Il convient d'arrêter cette indemnisation à 20 fr. par jour de détention illicite dans un espace insuffisant, dans la mesure où la surface à disposition dans la seule cellule où I.________ n'a pas disposé de suffisamment d'espace n'était inférieure que de 0,08 m2 par rapport au standard minimal de 4 m2 (9,34 m2 – 1,5 m2 / 2 = 3,92 m2 [cf. P. 218/4 pp. 2 et 6]). Ainsi, le montant de 2'680 fr. (134 x 20 fr.) doit lui être alloué à titre de réparation morale pour la détention subie dans un espace insuffisant. Ce montant sera par ailleurs augmenté à 3'000 fr. ex aequo et bono pour les jours passés dans des conditions illicites à la prison du Bois- Mermet pour des facteurs concomitants, un calcul précis n'étant pas possible. On ignore en effet quand exactement il a fait trop chaud ou trop froid dans les cellules occupées par l'intéressé. En outre, I.________ s'est trouvé hors de sa cellule durant 5,5 heures par jour deux à trois jours par semaine en raison du travail qu'il effectuait en détention. Enfin, on ignore si son codétenu travaillait également et, partant, combien de temps par jour et par semaine l'intéressé s'est retrouvé seul en cellule.</w:t>
      </w:r>
    </w:p>
    <w:p>
      <w:r>
        <w:rPr>
          <w:b/>
        </w:rPr>
        <w:t>E. 6</w:t>
      </w:r>
    </w:p>
    <w:p>
      <w:r>
        <w:t>Au vu de ce qui précède, les appels de W.________ et de I.________ doivent être partiellement admis et le jugement entrepris réformé dans le sens des considérants qui précèdent. Le défenseur d’office de W.________ a déposé en audience une liste d’opérations faisant état d’une activité de 18,2 heures au tarif horaire de 180 fr., d’une vacation à 120 fr. et de débours, par 31 fr. 60. L’activité alléguée est excessive en ce qui concerne le temps consacré à la</w:t>
      </w:r>
    </w:p>
    <w:p>
      <w:r>
        <w:t>- 31 - rédaction de l'appel et à la préparation de l'audience, par 13 heures, s'agissant d'un appel portant uniquement sur la question de la peine et comportant de nombreux passages sans pertinence tendant à rediscuter les faits. Cette activité sera donc réduite de 7,2 heures et le temps consacré à l'audience d'appel sera ajouté. Les débours seront comptabilisés au taux forfaitaire de 2% (art. 19 al. 2 TDC [Tarif des dépens en matière civile du 23 novembre 2010; BLV 270.11.6], applicable par renvoi de l’art. 26a al. 6 TFIP [Tarif des frais de procédure et indemnités en matière pénale du 28 septembre 2010; BLV 312.03.1], en vigueur depuis le 1er mai 2019). C’est ainsi une indemnité de 2'568 fr., correspondant à 12,33 heures d’activité au tarif horaire de 180 fr., à 44 fr. 40 de débours, à 120 fr. de vacation et à 183 fr. 60 de TVA qui doit être allouée à Me Claire Neville pour la procédure d’appel. Le défenseur d'office de I.________ a déposé en audience une liste d'opérations dont il n'y a pas lieu de s'écarter. C'est donc le montant demandé, de 1'982 fr. 20, débours et TVA compris, qui sera alloué à Me Anne-Rebecca Bula pour la procédure d'appel. Vu l’issue de la cause, les frais communs de la procédure d'appel, constitués en l’espèce des émoluments de jugement et d'audience, par 3'010 fr. (art. 21 al. 1 et 2 TFIP), seront mis par un quart, soit par 752 fr. 50, à la charge de W.________ et par un quart, soit par 752 fr. 50, à la charge de I.________, le solde étant laissé à la charge de l'Etat. La moitié de l'indemnité allouée au défenseur d'office de W.________ sera mise à sa charge, par 1'284 fr., le solde étant laissé à la charge de l'Etat. La moitié de l'indemnité allouée au défenseur d'office de I.________, par 991 fr. 10, sera mise à sa charge, le solde étant laissé à la charge de l'Etat. W.________ et I.________ ne seront tenus de rembourser à l'Etat la moitié de l’indemnité allouée à leur défenseur d'office respectif que lorsque leur situation financière le permettra (art. 135 al. 4 let. a CPP).</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