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PE18.003165 vom 23. Juli 2018</w:t>
      </w:r>
    </w:p>
    <w:p>
      <w:r>
        <w:t>VD Tribunal cantonal, 2018-07-23, FR</w:t>
      </w:r>
    </w:p>
    <w:p>
      <w:r>
        <w:rPr>
          <w:b/>
        </w:rPr>
        <w:t xml:space="preserve">Quelle: </w:t>
      </w:r>
      <w:r>
        <w:t>https://mcp.opencaselaw.ch/entscheid/vd_gerichte_PE18.003165</w:t>
      </w:r>
    </w:p>
    <w:p>
      <w:r>
        <w:t>FR: VD_GERICHTE PE18.003165 du 23 juillet 2018</w:t>
      </w:r>
    </w:p>
    <w:p>
      <w:r>
        <w:t>IT: VD_GERICHTE PE18.003165 del 23 luglio 2018</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 RS 312.0) (Harari/Corminboeuf, in : Kuhn/ Jeanneret [éd.], Commentaire romand, Code de procédure pénale suisse, Bâle 2011, n. 16 ad art. 136 CPP ; CREP 27 mars 2018/234).</w:t>
      </w:r>
    </w:p>
    <w:p>
      <w:r>
        <w:t>- 4 - Interjeté en temps utile (art. 396 al. 1 CPP), par la partie plaignante qui a qualité pour recourir (art. 382 al. 1 CPP), et dans les formes prescrites (art. 385 al. 1 CPP), le recours est recevable. Les pièces nouvelles produites à l’appui du recours sont recevables (Moreillon/Parein Reymond, Petit commentaire du Code de procédure pénale, 2e éd., Bâle 2016, n. 8 ad art. 385 CPP).</w:t>
      </w:r>
    </w:p>
    <w:p>
      <w:r>
        <w:rPr>
          <w:b/>
        </w:rPr>
        <w:t>E. 2.1</w:t>
      </w:r>
    </w:p>
    <w:p>
      <w:r>
        <w:t>La recourante expose que, sans activité lucrative, elle émarge actuellement au Revenu d’insertion (RI) et fait l’objet de poursuites. Elle produit un lot de pièces attestant de sa situation financière, soutenant ne pas l’avoir fait plus tôt dans la procédure car son conseil ne lui aurait jamais demandé la production de tels documents.</w:t>
      </w:r>
    </w:p>
    <w:p>
      <w:r>
        <w:rPr>
          <w:b/>
        </w:rPr>
        <w:t>E. 2.2</w:t>
      </w:r>
    </w:p>
    <w:p>
      <w:r>
        <w:t>; TF 6B_458/2015 du 16 décembre 2015 consid. 4.3.3 et les réf. citées).</w:t>
      </w:r>
    </w:p>
    <w:p>
      <w:r>
        <w:rPr>
          <w:b/>
        </w:rPr>
        <w:t>E. 2.2.1</w:t>
      </w:r>
    </w:p>
    <w:p>
      <w:r>
        <w:t>Selon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 TF 1B_151/2016 du 1er juin 2016 consid. 2.2). L'art. 136 CPP concrétise les conditions d'octroi de l'assistance judiciaire pour la partie plaignante dans un procès pénal. A teneur de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w:t>
      </w:r>
    </w:p>
    <w:p>
      <w:r>
        <w:t>- 5 - plaignante l'exige (let. c). Cette norme reprend ainsi les trois conditions cumulatives découlant de l'art. 29 al. 3 Cst., à savoir l'indigence, les chances de succès et le besoin d'être assisté (TF 1B_151/2016 du 1er juin 2016 consid. 2.2).</w:t>
      </w:r>
    </w:p>
    <w:p>
      <w:r>
        <w:rPr>
          <w:b/>
        </w:rPr>
        <w:t>E. 2.2.2</w:t>
      </w:r>
    </w:p>
    <w:p>
      <w:r>
        <w:t>Le législateur a sciemment limité l'octroi de l'assistance judiciaire aux cas où le plaignant peut faire valoir des prétentions civiles (TF 1B_151/2016 du 1er juin 2016 consid. 2.2). Il a ainsi tenu compte du fait que le monopole de la justice répressive est par principe exercé par l'État, de sorte que l'assistance judiciaire de la partie plaignante se justifie en priorité pour défendre ses conclusions civiles (TF 1B_151/2016 du 1er juin 2016 consid. 2.2 ; TF 6B_458/2015 du 16 décembre 2015 consid. 4.3.3 et les réf. citées ; Message du Conseil fédéral relatif à l'unification du droit de la procédure pénale du 21 décembre 2005, FF 2006 pp. 1057 ss, spéc. p. 1160).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1B_151/2016 du 1er juin 2016 consid.</w:t>
      </w:r>
    </w:p>
    <w:p>
      <w:r>
        <w:rPr>
          <w:b/>
        </w:rPr>
        <w:t>E. 2.2.3</w:t>
      </w:r>
    </w:p>
    <w:p>
      <w:r>
        <w:t>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1B_151/2016 du 1er juin 2016 consid. 2.3 ; TF 6B_122/2013 du 11 juillet 2013 consid. 4.1.2 ; TF 1B_26/2013 du 28 mai 2013 consid. 2.3 et les réf. citées).</w:t>
      </w:r>
    </w:p>
    <w:p>
      <w:r>
        <w:t>- 6 -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(sur le tout : ATF 123 I 145 consid. 2b/cc et 3a/bb ; TF 1B_151/2016 du 1er juin 2016 consid. 2.2 et 2.3 ; TF 1B_173/2014 du 17 juillet 2014 consid. 3.1.2 ; TF 6B_122/2013 du 11 juillet 2013 consid. 4.1.2).</w:t>
      </w:r>
    </w:p>
    <w:p>
      <w:r>
        <w:rPr>
          <w:b/>
        </w:rPr>
        <w:t>E. 2.3</w:t>
      </w:r>
    </w:p>
    <w:p>
      <w:r>
        <w:t>En l’espèce, il ressort des documents produits par F.________ à l’appui de son recours (P. 10/1) que celle-ci vit du RI depuis le 1er juillet 2016 et fait l’objet de poursuites pour un montant total de 21'040 fr. 20. L’indigence de la recourante est dès lors clairement établie et la première condition posée par l’art. 136 al. 1 let. a CPP apparaît ainsi réalisée. Toutefois, quand bien même la recourante s’est portée partie civile, elle n’a jamais chiffré ses prétentions. Au vu de la convention signée par les parties à l’audience de conciliation du 2 juillet 2018, valant notamment retrait par la recourante de sa plainte et mettant ainsi un terme à la procédure, il y a lieu de considérer que F.________ a renoncé à toutes conclusions civiles. Pour ce motif, l’assistance judiciaire ne se justifie pas. Au surplus, l’accord scellé le 2 juillet 2018 vient confirmer que l’affaire était simple et pouvait être réglée rapidement. Dans ces circonstances, l’assistance d’un mandataire professionnel n’était pas nécessaire et c’est ainsi à bon droit que le Ministère public a rejeté la requête de la recourante tendant à l’octroi de l’assistance judiciaire pour ce motif également.</w:t>
      </w:r>
    </w:p>
    <w:p>
      <w:r>
        <w:rPr>
          <w:b/>
        </w:rPr>
        <w:t>E. 3</w:t>
      </w:r>
    </w:p>
    <w:p>
      <w:r>
        <w:t>Il résulte de ce qui précède que le recours, manifestement mal fondé, doit être rejeté sans échange d’écritures (art. 390 al. 2 CPP) et l’ordonnance attaquée confirmée. A titre exceptionnel et compte tenu des circonstances particulières de la cause, les frais de la procédure de recours, constitués</w:t>
      </w:r>
    </w:p>
    <w:p>
      <w:r>
        <w:t>- 7 - en l’espèce du seul émolument d’arrêt (art. 422 al. 1 CPP), par 770 fr. (art. 20 al. 1 TFIP [Tarif des frais de procédure et indemnités en matière pénale du 28 septembre 2010 ; RSV 312.03.1]), seront mis à la charge de F.________, qui succombe (art. 428 al. 1 CPP), par 100 fr. et laissés à la charge de l’Etat pour le surplus (art. 425, 2e phrase, CPP). Par ces motifs, la Chambre des recours pénale prononce : I. Le recours est rejeté. II. L’ordonnance du 29 juin 2018 est confirmée. III. Les frais d’arrêt, par 770 fr. (sept cent septante francs), sont mis à la charge de F.________ par 100 fr. (cent francs), le solde étant laissé à la charge de l’Etat. IV. L’arrêt est exécutoire. Le président : La greffière : Du Le présent arrêt, dont la rédaction a été approuvée à huis clos, est notifié, par l'envoi d'une copie complète, à : - Mme F.________, - Me Jean-Marc Courvoisier, avocat (pour F.________), - Ministère public central, et communiqué à : - Mme la Procureure de l’arrondissement de Lausanne,</w:t>
      </w:r>
    </w:p>
    <w:p>
      <w:r>
        <w:t>- 8 -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