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PE18.002963 vom 11. März 2020</w:t>
      </w:r>
    </w:p>
    <w:p>
      <w:r>
        <w:t>VD Tribunal cantonal, 2020-03-11, FR</w:t>
      </w:r>
    </w:p>
    <w:p>
      <w:r>
        <w:rPr>
          <w:b/>
        </w:rPr>
        <w:t xml:space="preserve">Quelle: </w:t>
      </w:r>
      <w:r>
        <w:t>https://mcp.opencaselaw.ch/entscheid/vd_gerichte_PE18.002963</w:t>
      </w:r>
    </w:p>
    <w:p>
      <w:r>
        <w:t>FR: VD_GERICHTE PE18.002963 du 11 mars 2020</w:t>
      </w:r>
    </w:p>
    <w:p>
      <w:r>
        <w:t>IT: VD_GERICHTE PE18.002963 del 11 marzo 2020</w:t>
      </w:r>
    </w:p>
    <w:p>
      <w:pPr>
        <w:pStyle w:val="Heading2"/>
      </w:pPr>
      <w:r>
        <w:t>Erwägungen</w:t>
      </w:r>
    </w:p>
    <w:p>
      <w:r>
        <w:rPr>
          <w:b/>
        </w:rPr>
        <w:t>E. 1</w:t>
      </w:r>
    </w:p>
    <w:p>
      <w:r>
        <w:t>A titre principal, le recourant conclut à ce que la nullité de l’ordonnance de disjonction du 8 mars 2018 soit constatée. Il soutient que le pli contenant cette décision ne lui serait jamais parvenu et qu’il aurait été par conséquent privé de son droit de recourir. Il s’agirait d’un vice qui entrainerait la nullité absolue de cette ordonnance. Subsidiairement, le recourant conclut à l’annulation de cette décision. Faisant valoir qu’il n’en aurait eu « effectivement » connaissance que le 27 février 2020, il en conteste le bien-fondé et invoque en substance une violation des art. 29 et 30 CPP (Code de procédure pénale suisse du 5 octobre 2007 ; RS 312) ainsi que de son droit d’être entendu. Cette ordonnance nuirait en outre gravement à ses intérêts, puisqu’il serait poursuivi pour des infractions qui n’auraient pas été retenues par les autorités vaudoises et qu’il n’aurait aucun accès à la procédure concernant B.________. Le recourant se plaint à cet égard du fait que ses réquisitions tendant à l’audition de ce dernier auraient été rejetées tant par le Ministère public genevois que par le Tribunal correctionnel et la Chambre d’appel et de révision.</w:t>
      </w:r>
    </w:p>
    <w:p>
      <w:r>
        <w:rPr>
          <w:b/>
        </w:rPr>
        <w:t>E. 2.1</w:t>
      </w:r>
    </w:p>
    <w:p>
      <w:r>
        <w:t>La nullité absolue d'une décision peut être invoquée en tout temps devant toute autorité et doit être constatée d'office (ATF 137 I 273</w:t>
      </w:r>
    </w:p>
    <w:p>
      <w:r>
        <w:t>- 5 - consid. 3.1 ; TF 6B_120/2018 du 31 juillet 2018 consid. 2.1 ; TF 6B_667/2017 du 15 décembre 2017 consid. 2.3). La nullité absolue ne frappe que les décisions affectées des vices les plus graves, manifestes ou du moins facilement décelables et pour autant que sa constatation ne mette pas sérieusement en danger la sécurité du droit (ATF 138 II 501 consid. 3.1 ; ATF 138 III 49 consid. 4.4.3 ; ATF 137 I 273 consid. 3.1 ; TF 6B_120/2018 précité consid. 2.2 ; TF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 TF 6B_667/2017 précité consid. 3.1). Dans le domaine du droit pénal, la sécurité du droit revêt une importance particulière. On ne saurait ainsi admettre facilement la nullité de décisions entrées en force (TF 6B_667/2017 précité consid. 3.1 ; TF 6B_120/2018 précité consid. 2.2 ; TF 6B_744/2008 du 23 janvier 2009 consid. 1.3). Entrent avant tout en considération comme motifs de nullité l'incompétence fonctionnelle et matérielle de l'autorité appelée à statuer, ainsi qu'une erreur manifeste de procédure (ATF 143 III 495 consid. 2.2 ; ATF 138 II 501 consid. 3.1 ; TF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 ATF 127 II 32 consid. 3g ; TF 6B_120/2018 précité consid.</w:t>
      </w:r>
    </w:p>
    <w:p>
      <w:r>
        <w:rPr>
          <w:b/>
        </w:rPr>
        <w:t>E. 2.2</w:t>
      </w:r>
    </w:p>
    <w:p>
      <w:r>
        <w:t>Une ordonnance par laquelle le Ministère public ordonne la jonction ou la disjonction de procédures pénales (art. 30 CPP) est susceptible d’un recours au sens des art. 393 ss CPP (Stephenson/Thiriet, in : Niggli/Heer/Wiprächtiger [éd.], Basler Kommentar, Schweizerische</w:t>
      </w:r>
    </w:p>
    <w:p>
      <w:r>
        <w:t>- 6 -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Consacrant le principe dit de l’unité de la procédure, l’art. 29 al. 1 CPP prévoit que les infractions sont poursuivies et jugées conjointement si un prévenu a commis plusieurs infractions (let. a) ou s'il y a plusieurs coauteurs ou participation (let. b). Aux termes de l'art. 30 CPP, si des raisons objectives le justifient, le ministère public et les tribunaux peuvent ordonner la jonction ou la disjonction de procédures pénales. La disjonction doit constituer l'exception et l'unité de la procédure la règle, dans un but d'économie de la procédure, mais aussi dans celui de prévenir des décisions contradictoires (cf. ATF 138 IV 214 consid. 3.2 ; Moreillon/Parein-Reymond, Petit Commentaire du Code de procédure pénale, 2e éd., Bâle 2016, n. 2 ad art. 30 CPP). La disjonction doit dès lors être fondée sur des motifs concrets et objectifs et doit rester l'exception (ATF 138 IV 214 consid. 3.2).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En revanche, de simples motifs de commodité ne sauraient justifier une disjonction (Bouverat, in :</w:t>
      </w:r>
    </w:p>
    <w:p>
      <w:r>
        <w:t>- 7 - Jeanneret/Kuhn/Perrier Depeursinge [éd.], Commentaire romand, Code de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3</w:t>
      </w:r>
    </w:p>
    <w:p>
      <w:r>
        <w:t>En l’espèce, le courrier contenant l’ordonnance de disjonction litigieuse n’est pas parvenu au recourant. Il ressort cependant du dossier que dans le cadre de l’enquête préliminaire menée par les autorités vaudoises, le prévenu a été pourvu d’un défenseur d’office le 18 avril 2018 et que celui-ci a pu consulter le dossier le 27 avril suivant. Force est donc de considérer que le recourant a connaissance du fait que le cas de B.________ a été disjoint du sien depuis cette date. Or, il n’a recouru ni contre cette décision ni contre l’ordonnance d’acceptation de for rendue le 27 juin 2018 par le Parquet genevois, conséquence procédurale de la disjonction intervenue. D’autre part, le défenseur actuel du recourant soutient avoir pris connaissance de l’ordonnance litigieuse en consultant le dossier le 20 février 2020. Or, il ressort de son courrier du 31 octobre 2019 qu’il en avait déjà connaissance avant puisqu’il se prévalait déjà du fait que le cas de B.________ avait été disjoint pour requérir son audition auprès de la Chambre pénale d’appel et de révision genevoise (« au vol commis par le seul B.________ dont la procédure est disjointe le 8 mars 2018 [cf. C-129]) ». Il indique en outre que cette réquisition a été présentée devant le Ministère public genevois les 28 mars et 2 octobre 2019, puis les 5 août 2019 et 26 août 2019 devant le Tribunal correctionnel. Au regard des principes de la bonne foi et de l’interdiction de l’abus de droit qui s’appliquent également aux justiciables (cf. art. 3 al. 2 let. a et b CPP ; Moreillon/Parein-Reymond, op. cit., n. 11 ad art. 3 CPP), le</w:t>
      </w:r>
    </w:p>
    <w:p>
      <w:r>
        <w:t>- 8 - recourant est malvenu de remettre en cause la validité d’une décision dont il a connaissance depuis deux ans et dont il s’est satisfait jusqu’en procédure d’appel. Sa passivité doit lui être opposée. Pour le surplus, le fait qu’il n’obtienne pas l’audition de B.________ n’est nullement pertinent. Il ne constitue en effet pas une circonstance exceptionnelle qui justifierait de considérer que l’ordonnance litigieuse est nulle. Le recourant dispose de voies de droit pour contester le rejet de ses réquisitions, la procédure à son encontre étant toujours pendante. En définitive, déposé deux ans après en avoir eu connaissance, le recours de U.________ contre l’ordonnance de disjonction du 8 mars 2018 est tardif et relève manifestement d’une démarche abusive. Au surplus, cette ordonnance n’est pas entachée de nullité. Dans ces conditions, point n’est besoin d’entrer en matière sur l’argumentation du recourant relative à la violation des art. 29 et 30 CPP.</w:t>
      </w:r>
    </w:p>
    <w:p>
      <w:r>
        <w:rPr>
          <w:b/>
        </w:rPr>
        <w:t>E. 4</w:t>
      </w:r>
    </w:p>
    <w:p>
      <w:r>
        <w:t>Au vu de ce qui précède, le recours est rejeté dans la mesure où il est recevable. La requête tendant à l’octroi de l’assistance judiciaire pour la procédure de recours doit être rejetée, dès lors que le recours apparaissait d’emblée dénué de chances de succès.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dans la mesure où il est recevable. II. La requête d’assistance judiciaire pour la procédure de recours est rejetée. III. Les frais d’arrêt, par 880 fr. (huit cent huitante francs), sont mis à la charge de U.________. IV. L’arrêt est exécutoire. Le président : La greffière : Du Le présent arrêt, dont la rédaction a été approuvée à huis clos, est notifié, par l'envoi d'une copie complète, à : - Me Carole van de Sandt, avocate (pour U.________), - Ministère public central, et communiqué à : - M. le Procureur de l’arrondissement de Lausanne, - Chambre pénale d’appel et de révision de la République et Canton de Genève,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