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PE18.002920 vom 18. Juli 2018</w:t>
      </w:r>
    </w:p>
    <w:p>
      <w:r>
        <w:t>VD Tribunal cantonal, 2018-07-18, FR</w:t>
      </w:r>
    </w:p>
    <w:p>
      <w:r>
        <w:rPr>
          <w:b/>
        </w:rPr>
        <w:t xml:space="preserve">Quelle: </w:t>
      </w:r>
      <w:r>
        <w:t>https://mcp.opencaselaw.ch/entscheid/vd_gerichte_PE18.002920</w:t>
      </w:r>
    </w:p>
    <w:p>
      <w:r>
        <w:t>FR: VD_GERICHTE PE18.002920 du 18 juillet 2018</w:t>
      </w:r>
    </w:p>
    <w:p>
      <w:r>
        <w:t>IT: VD_GERICHTE PE18.002920 del 18 luglio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En l’espèce, interjeté dans le délai légal auprès de l’autorité compétente par les plaignants qui ont qualité pour recourir (art. 382 al. 1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w:t>
      </w:r>
    </w:p>
    <w:p>
      <w:r>
        <w:t>- 4 - pénale ne sont manifestement pas réunis (TF 1B_709/2012 du 21 février 2013 consid. 3.1 ;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w:t>
      </w:r>
    </w:p>
    <w:p>
      <w:r>
        <w:rPr>
          <w:b/>
        </w:rPr>
        <w:t>E. 3</w:t>
      </w:r>
    </w:p>
    <w:p>
      <w:r>
        <w:t>Les recourants soutiennent que le dossier renfermerait des soupçons suffisants pour ouvrir contre B.Q.________ une instruction pénale des chefs de contrainte, subsidiairement tentative de contrainte.</w:t>
      </w:r>
    </w:p>
    <w:p>
      <w:r>
        <w:rPr>
          <w:b/>
        </w:rPr>
        <w:t>E. 3.1.1</w:t>
      </w:r>
    </w:p>
    <w:p>
      <w:r>
        <w:t>La cédule hypothécaire est un papier-valeur incorporant une créance personnelle et un droit de gage immobilier qui garantit celle-ci (art. 842 CC [Code civil suisse du 10 décembre 1907 ; RS 210]). En règle générale, le propriétaire de l'immeuble est le débiteur de la dette reconnue dans la cédule hypothécaire; lorsqu'un tiers en est le débiteur, il y a dissociation des qualités de débiteur et de propriétaire (art. 845 CC, qui renvoie aux art. 827 et 831 CC). Lorsque la cédule hypothécaire est libellée au porteur, le débiteur s'engage non seulement à ne pas exécuter la prestation sans la présentation du titre (clause papier-valeur simple) mais encore à reconnaître que toute personne détenant le titre sera considérée par lui comme l'ayant droit (clause papier-valeur qualifiée au</w:t>
      </w:r>
    </w:p>
    <w:p>
      <w:r>
        <w:t>- 5 - porteur; art. 978 CO [Code des obligations; RS 220]; ATF 109 II 239 consid. 2a, JdT 1984 I 148; ; Bohnet, Commentaire romand, Code des obligation II, 2e éd., Bale 2017, n. 1 ad art. 978 CO). Les droits incorporés dans la cédule hypothécaire au porteur ne peuvent donc être exercés et transférés qu'au moyen du titre (art. 965 CO). Le transfert de la cédule hypothécaire est soumis aux règles ordinaires de l'acquisition des droits réels et aux règles particulières de l'acquisition des papiers-valeurs. Il nécessite donc un titre d'acquisition, un acte de disposition et le transfert de la possession du titre. Le titre d'acquisition, soit la cause du transfert, doit être valable pour que le transfert soit valable; ce peut être un contrat, comme la vente ou la donation, mais aussi le legs. L'acte de disposition, par lequel le créancier déclare se dessaisir de la créance, doit respecter une exigence de forme qui dépend du type de papier-valeur utilisé (nominatif, au porteur, à ordre), aucune forme n'étant requise pour le titre au porteur selon les art. 967 et 978 CO, sauf la tradition pure et simple de la chose mobilière : la cédule. Quant au fond, l'acte de disposition doit respecter les conditions de validité ordinaires (art. 1 ss CO), ainsi que le pouvoir de disposition de l'aliénateur, sous réserve de la protection des tiers de bonne foi de l'art. 935 CC (CCIV 1er octobre 2010/127 consid. IV e) et les références citées).</w:t>
      </w:r>
    </w:p>
    <w:p>
      <w:r>
        <w:rPr>
          <w:b/>
        </w:rPr>
        <w:t>E. 3.1.2</w:t>
      </w:r>
    </w:p>
    <w:p>
      <w:r>
        <w:t>Se rend coupable de contrainte au sens de l'art. 181 CP (Code pénal suisse du 21 décembre 1937 ; RS 311.0)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(TF 6B_153/2017 du 28 novembre 2017 consid. 3.1 ; ATF 101 IV 42 consid. 3a), la menace est un moyen de pression psychologique consistant à annoncer un dommage futur dont la réalisation est présentée comme dépendante de la volonté de l'auteur, sans toutefois qu'il soit nécessaire que cette dépendance soit effective (TF 6B_153/2017 du 28 novembre 2017 consid. 3.1 ; ATF 117 IV 445 consid. 2b ; ATF 106 IV 125 consid. 2a) ni que l'auteur ait réellement la</w:t>
      </w:r>
    </w:p>
    <w:p>
      <w:r>
        <w:t>- 6 - volonté de réaliser sa menace (TF 6B_153/2017 du 28 novembre 2017 consid. 3.1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6B_77/2017 du 16 janvier 2018 consid. 5.1).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(TF 6B_153/2017 du 28 novembre 2017 consid. 3.1 ; ATF 141 IV 437 consid. 3.2.1 ; ATF 137 IV 326 consid. 3.3.1). Pour une personne de sensibilité moyenne, faire par exemple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w:t>
      </w:r>
    </w:p>
    <w:p>
      <w:r>
        <w:t>- 7 - ou d'action (TF 6B_153/2017 du 28 novembre 2017 consid. 3.1 et les arrêts cités). Lorsque la victime ne se laisse pas intimider et n'adopte pas le comportement voulu par l'auteur, ce dernier est punissable de tentative de contrainte (art. 22 al. 1 CP ; TF 6B_153/2017 du 28 novembre 2017 consid. 3.1 ; ATF 129 IV 262 consid. 2.7 ; ATF 106 IV 125 consid. 2b). Pour qu'il y ait tentative de contrainte, il faut que l'auteur ait agi avec conscience et volonté, soit au moins qu'il ait accepté l'éventualité que le procédé illicite employé entrave le destinataire dans sa liberté de décision (TF 6B_153/2017 du 28 novembre 2017 consid. 3.1 ; ATF 120 IV 17 consid. 2c).</w:t>
      </w:r>
    </w:p>
    <w:p>
      <w:r>
        <w:rPr>
          <w:b/>
        </w:rPr>
        <w:t>E. 3.2</w:t>
      </w:r>
    </w:p>
    <w:p>
      <w:r>
        <w:t>En l'espèce, il ressort du dossier que la prévenue est titulaire d'un droit d'habitation sur l'immeuble, droit que les recourants souhaitent lui racheter, mais sans qu'un accord à ce stade n'ait été trouvé. De même, l'acte de donation démontre, par la précision que les cédules ne pourront être engagées que du consentement des propriétaires et des usufruitiers, que le sort des cédules – restées en mains de la prévenue – n'était pas réglé entre les parties au moment de la donation. Comme l'a rappelé le Procureur, les cédules hypothécaires ont toujours été en mains de la prévenue qui peut ainsi se considérer comme possesseur. Ces cédules sont en outre au porteur, ce qui a pour conséquence que la prévenue est légitimée dans ses droits par ce simple fait. On ne discerne dès lors pas en quoi le refus de la prévenue de remettre ces cédules, en l'état et au vu des divergences quant aux modalités du rachat du droit d'habitation et à la vente de l'immeuble, serait illicite. Dans ces circonstances, c'est à raison que le Procureur a refusé d'ouvrir une enquête pour contrainte ou tentative de contrainte.</w:t>
      </w:r>
    </w:p>
    <w:p>
      <w:r>
        <w:rPr>
          <w:b/>
        </w:rPr>
        <w:t>E. 4</w:t>
      </w:r>
    </w:p>
    <w:p>
      <w:r>
        <w:t>Les recourants reprochent également au Procureur de ne pas avoir statué sur les allégations relatives à la fausse signature du recourant A.Q.________ sur un compte ouvert dans une banque en Espagne.</w:t>
      </w:r>
    </w:p>
    <w:p>
      <w:r>
        <w:t>- 8 - Si l'on se réfère aux éléments de la plainte (P. 6, ch. 39-40), on constate que les démarches effectuées sur le compte par un tiers l'ont été en Espagne auprès de cette banque. Le for est donc en Espagne (art. 3 al. 1 CP), l'usage du faux allégué ayant été opéré là-bas, le ministère public étant ainsi légitimé à ne pas examiner le grief.</w:t>
      </w:r>
    </w:p>
    <w:p>
      <w:r>
        <w:rPr>
          <w:b/>
        </w:rPr>
        <w:t>E. 5</w:t>
      </w:r>
    </w:p>
    <w:p>
      <w:r>
        <w:t>En définitive, le recours, manifestement mal fondé, doit être rejeté, sans autre échange d'écritures (art. 390 al. 2 CPP), et l'ordonnance du 23 avril 2018 confirmée. Les frais de la procédure de recours, constitués en l’espèce du seul émolument d’arrêt (art. 422 al. 1 CPP), par 880 fr. (art. 20 al. 1 TFIP [tarif des frais de procédure et indemnités en matière pénal; RSV 312.03.1]), seront mis solidairement entre eux à la charge des recourants, qui succombent (art. 428 al. 1 CPP). Par ces motifs, la Chambre des recours pénale prononce : I. Le recours est rejeté. II. L'ordonnance du 23 avril 2018 est confirmée. III. Les frais de la procédure de recours, par 880 fr. (huit cent huitante francs), sont mis solidairement entre eux, à la charge des recourants T.________ et A.Q.________. IV. L’arrêt est exécutoire. Le président : La greffière :</w:t>
      </w:r>
    </w:p>
    <w:p>
      <w:r>
        <w:t>- 9 - Du Le présent arrêt, dont la rédaction a été approuvée à huis clos, est notifié, par l'envoi d'une copie complète, à : - Me Nicolas Saviaux, avocat (pour T.________ et A.Q.________), - Ministère public central, et communiqué à : - M. le Procureur de l'arrondissement du Nord vaudois, - Mme B.Q.________,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