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PE18.002856 vom 2. November 2018</w:t>
      </w:r>
    </w:p>
    <w:p>
      <w:r>
        <w:t>VD Tribunal cantonal, 2018-11-02, FR</w:t>
      </w:r>
    </w:p>
    <w:p>
      <w:r>
        <w:rPr>
          <w:b/>
        </w:rPr>
        <w:t xml:space="preserve">Quelle: </w:t>
      </w:r>
      <w:r>
        <w:t>https://mcp.opencaselaw.ch/entscheid/vd_gerichte_PE18.002856</w:t>
      </w:r>
    </w:p>
    <w:p>
      <w:r>
        <w:t>FR: VD_GERICHTE PE18.002856 du 2 novembre 2018</w:t>
      </w:r>
    </w:p>
    <w:p>
      <w:r>
        <w:t>IT: VD_GERICHTE PE18.002856 del 2 novembre 2018</w:t>
      </w:r>
    </w:p>
    <w:p>
      <w:pPr>
        <w:pStyle w:val="Heading2"/>
      </w:pPr>
      <w:r>
        <w:t>Erwägungen</w:t>
      </w:r>
    </w:p>
    <w:p>
      <w:r>
        <w:rPr>
          <w:b/>
        </w:rPr>
        <w:t>E. 3</w:t>
      </w:r>
    </w:p>
    <w:p>
      <w:r>
        <w:t>Il s’ensuit que la demande de récusation déposée le 18 septembre 2018, manifestement tardive, doit être déclarée irrecevable. A supposer recevable, elle devrait être rejetée. Les frais de la présente procédure, constitués du seul émolument de décision (art. 422 al. 1 CPP), par 990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18 septembre 2018 par J.________ contre le procureur L.________ est irrecevable. II. Les frais de la procédure de récusation, par 990 fr. (neuf cent nonante francs), sont mis à la charge d’J.________. III. La décision est exécutoire.</w:t>
      </w:r>
    </w:p>
    <w:p>
      <w:r>
        <w:t>- 11 - Le président : La greffière : Du La présente décision, dont la rédaction a été approuvée à huis clos, est notifiée, par l'envoi d'une copie complète, à : - Me Alain Dubuis (pour J.________), - M. le Procureur général du canton de Vaud, et communiquée à : - M. le Procureur du Ministère public central, Division criminalité économique,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