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PE18.002665 vom 18. Juni 2018</w:t>
      </w:r>
    </w:p>
    <w:p>
      <w:r>
        <w:t>VD Tribunal cantonal, 2018-06-18, FR</w:t>
      </w:r>
    </w:p>
    <w:p>
      <w:r>
        <w:rPr>
          <w:b/>
        </w:rPr>
        <w:t xml:space="preserve">Quelle: </w:t>
      </w:r>
      <w:r>
        <w:t>https://mcp.opencaselaw.ch/entscheid/vd_gerichte_PE18.002665</w:t>
      </w:r>
    </w:p>
    <w:p>
      <w:r>
        <w:t>FR: VD_GERICHTE PE18.002665 du 18 juin 2018</w:t>
      </w:r>
    </w:p>
    <w:p>
      <w:r>
        <w:t>IT: VD_GERICHTE PE18.002665 del 18 giugno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vaudoise d’introduction du Code de procédure pénale suisse du 19 mai 2009; RSV 312.01]; art. 80 LOJV [Loi d’organisation judiciaire du 12 décembre 1979; RSV 173.01]). En l’espèce, le recours a été interjeté en temps utile – compte tenu de l’erreur d’adressage initiale, non imputable à la recourante –, et dans les formes prescrites auprès de l’autorité compétente, par la partie plaignante qui a qualité pour recourir (art. 382 al. 1 CPP). Le recours est</w:t>
      </w:r>
    </w:p>
    <w:p>
      <w:r>
        <w:t>- 4 - recevable en tant qu’il tend à l’annulation de l’ordonnance entreprise. En revanche, il est irrecevable en tant qu’il tend à la condamnation de B.A.________, la Cour de céans n’étant pas compétente sur ce point.</w:t>
      </w:r>
    </w:p>
    <w:p>
      <w:r>
        <w:rPr>
          <w:b/>
        </w:rPr>
        <w:t>E. 2</w:t>
      </w:r>
    </w:p>
    <w:p>
      <w:r>
        <w:t>Aux termes de l'art. 310 al. 1 let. a CPP, une ordonnance de non-entrée en matière est rendue immédiatement – c’est-à-dire sans qu’une instruction soit ouverte (art. 309 al. 1 et 4 CPP; TF 1B_111/2012 du</w:t>
      </w:r>
    </w:p>
    <w:p>
      <w:r>
        <w:rPr>
          <w:b/>
        </w:rPr>
        <w:t>E. 5</w:t>
      </w:r>
    </w:p>
    <w:p>
      <w:r>
        <w:t>avril 2012 consid. 2.1;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1B_111/2012 du 5 avril 2012 consid. 2.1;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3. 3.1 La recourante soutient que les éléments constitutifs objectifs et subjectifs de l'infraction de contrainte (art. 181 CP) seraient réalisés.</w:t>
      </w:r>
    </w:p>
    <w:p>
      <w:r>
        <w:t>- 5 - 3.2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L'art. 181 CP prévoit ainsi alternativement trois moyens de contrainte : l'usage de la violence, la menace d'un dommage sérieux ou tout acte entravant la personne dans sa liberté d'action. Il y a menace d'un dommage sérieux lorsqu'il apparaît, selon la déclaration faite, que la survenance de l'inconvénient dépend de l'auteur et que cette perspective est telle qu'elle est de nature à entraver le destinataire dans sa liberté de décision (ATF 106 IV 125 consid. 2a; ATF 96 IV 58 consid. 3). La question doit être tranchée en fonction de critères objectifs, et non pas d'après les réactions du destinataire d'espèce (ATF 106 IV 125 consid. 2b; ATF 101 IV 47 consid. 2a; ATF 96 IV 58 consid. 3; ATF 81 IV 101 consid. 3). La menace de déposer une plainte pénale doit être considérée comme la menace d'un dommage sérieux ; en effet, un tel acte, dépendant de la volonté de l'auteur, provoque l'ouverture d'une procédure pénale qui est, pour la personne visée, une source de tourments et un poids psychologique considérable, de sorte que cette perspective est propre, pour un destinataire raisonnable, à l'amener à adopter un comportement qu'il n'aurait pas eu s'il avait eu toute sa liberté de décision (cf. ATF 96 IV 58 consid. 3). Selon la jurisprudence, la contrainte n'est contraire au droit que si elle est illicite.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(TF 6B_719/2015 du 4 mai 2016 consid. 2.1 et les références citées) ; cette dernière hypothèse est en particulier réalisée lorsqu'il n'y a pas de rapport</w:t>
      </w:r>
    </w:p>
    <w:p>
      <w:r>
        <w:t>- 6 - entre l'objet de la menace et l'exigence formulée (ATF 106 IV 125 consid. 3a et réf.). La menace de déposer plainte pénale est en principe licite. En revanche, menacer d'une plainte pour une infraction que rien ne permet sérieusement de soupçonner constitue un moyen en soi inadmissible (Corboz, Les infractions en droit suisse, vol. I, 3e éd., Berne 2010, n. 27 ad art. 181 CP; ATF 120 IV 20 ; sur le tout : CREP 3 avril 2017/53). 3.3 En l’occurrence, il ressort clairement des pièces au dossier que les parties sont divisées par un litige successoral qui dure depuis des années et qui s’avère complexe, comme l’a souligné le Procureur, d’autant plus que le for successoral fait l’objet d’une instruction devant les autorités françaises. Il apparaît en l'espèce que le courriel de l’avocat du prévenu (cf. P. 4/6) était factuel, et faisait tant référence à des faits précis qu’à un raisonnement juridique étayé. Compte tenu du fait que l’instruction civile se déroule en France et que les arguments juridiques ne paraissent pas infondés, on ne saurait y voir une tentative de contrainte. Il s'ensuit que c'est à bon droit que le Ministère public a décidé de ne pas entrer en matière sur la plainte de la recourante.</w:t>
      </w:r>
    </w:p>
    <w:p>
      <w:r>
        <w:rPr>
          <w:b/>
        </w:rPr>
        <w:t>E. 8</w:t>
      </w:r>
    </w:p>
    <w:p>
      <w:r>
        <w:t>Il résulte de ce qui précède que le recours, manifestement mal fondé, doit être rejeté dans la mesure de sa recevabilité, sans autre échange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RSV 312.03.1]), seront mis à la charge de la recourante, qui succombe (art. 428 al. 1 CPP). Par ces motifs,</w:t>
      </w:r>
    </w:p>
    <w:p>
      <w:r>
        <w:t>- 7 - la Chambre des recours pénale prononce : I. Le recours est rejeté dans la mesure où il est recevable. II. L'ordonnance du 22 février 2018 est confirmée. III. Les frais d'arrêt, par 660 fr. (six cent soixante francs), sont mis à la charge de T.A.________. IV. L'arrêt est exécutoire. Le président : Le greffier : Du Le présent arrêt, dont la rédaction a été approuvée à huis clos, est notifié, par l'envoi d'une copie complète, à : - Me Rodrigue Sperisen (pour Mme T.A.________), - Ministère public central, et communiqué à : - M. le Procureur de l'arrondissement de Lausanne,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