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PE18.002639 vom 4. Dezember 2020</w:t>
      </w:r>
    </w:p>
    <w:p>
      <w:r>
        <w:t>VD Tribunal cantonal, 2020-12-04, FR</w:t>
      </w:r>
    </w:p>
    <w:p>
      <w:r>
        <w:rPr>
          <w:b/>
        </w:rPr>
        <w:t xml:space="preserve">Quelle: </w:t>
      </w:r>
      <w:r>
        <w:t>https://mcp.opencaselaw.ch/entscheid/vd_gerichte_PE18.002639</w:t>
      </w:r>
    </w:p>
    <w:p>
      <w:r>
        <w:t>FR: VD_GERICHTE PE18.002639 du 4 décembre 2020</w:t>
      </w:r>
    </w:p>
    <w:p>
      <w:r>
        <w:t>IT: VD_GERICHTE PE18.002639 del 4 dicembre 2020</w:t>
      </w:r>
    </w:p>
    <w:p>
      <w:pPr>
        <w:pStyle w:val="Heading2"/>
      </w:pPr>
      <w:r>
        <w:t>Erwägungen</w:t>
      </w:r>
    </w:p>
    <w:p>
      <w:r>
        <w:rPr>
          <w:b/>
        </w:rPr>
        <w:t>E. 34</w:t>
      </w:r>
    </w:p>
    <w:p>
      <w:r>
        <w:t>ad art. 10 CPP; Kistler Vianin, CR CPP, nn. 19-20 ad art. 398 CPP et les références).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w:t>
      </w:r>
    </w:p>
    <w:p>
      <w:r>
        <w:t>- 19 -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w:t>
      </w:r>
    </w:p>
    <w:p>
      <w:r>
        <w:rPr>
          <w:b/>
        </w:rPr>
        <w:t>E. 38</w:t>
      </w:r>
    </w:p>
    <w:p>
      <w:r>
        <w:t>consid. 2a; cf. aussi, quant à la notion d'arbitraire, ATF 136 III 552 consid. 4.2). Les déclarations de la victime constituent un élément de preuve. Le juge doit, dans l'évaluation globale de l'ensemble des éléments probatoires rassemblés au dossier, les apprécier librement (TF 6B_1283/2018 du 14 février 2019 consid. 1.3; TF 6B_1306/2017 du 17 mai 218 consid. 2.1.1; TF 6B_942/2017 du 5 mars 2018 consid. 2.1.2; 6B_614/2012 du 15 février 2013 consid. 3.2.5; TF 6B_716/2010 du 15 novembre 2010 consid. 1.3),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TF 6B_1283/2018 du 14 février 2019 consid. 1.3). 3.2 3.2.1 Le tribunal correctionnel a en substance considéré que la crédibilité des déclarations de A.R.________ – qui soutenait que les accusations portées contre lui par son fils étaient faites soit pour lui faire payer la séparation de ses parents, soit parce qu’il faisait l’objet d’une manipulation de sa mère – devait être relativisée. Le prévenu avait été condamné pour diverses infractions et n’avait pas hésité à mentir, répondant par la négative à la question de savoir s’il avait déjà fait l’objet de condamnations. Il avait également menti en soutenant ne pas</w:t>
      </w:r>
    </w:p>
    <w:p>
      <w:r>
        <w:t>- 20 - comprendre pourquoi il ne voyait plus ses enfants alors qu’il était à l’origine de la rupture de ces relations. Le prévenu n’hésitait ainsi pas à mentir et il avait en outre tergiversé quant à la question de savoir s’il avait ou non dormi avec l’un de ses enfants. Il avait de plus tenté d’intimider le plaignant aux débats, en le fixant du regard et en lui disant qu’il mentait et aurait de la peine à vivre avec cela. Quant au plaignant, il avait fait des déclarations constantes et l’audition vidéo dans le cadre de laquelle il avait décrit les abus subis était empreinte d’une sincérité frappante, et dépourvue de toute animosité envers le prévenu. S’il peinait à décrire en détail ce qui s’était passé, cela s’expliquait par la pudeur et le malaise de devoir décrire de tels faits, mais ses gestes étaient empreints d’émotion et de détresse. Il avait décrit de façon crédible ce qu’il avait ressenti durant les actes, comme son ignorance sur la manière de devoir masturber son père, la douleur ressentie lors de la pénétration et son soulagement lorsque son père avait cessé ses agissements. Il n’y avait en outre rien d’insolite à ce que de tels faits soient dénoncés près de 10 ans plus tard, chez une victime qui avait tenté d’oublier ce qui lui était arrivé, et qui n’avait réalisé que plusieurs années plus tard, lors d’un cours d’éducation sexuelle la nature des actes subis. Il avait alors commencé à ressentir de la peur à s’endormir et à faire des cauchemars ; entre 12 et 15 ans, il avait des flashbacks et des images intrusives, éprouvait de la honte avec son propre corps nu et avait ressenti un blocage au moment d’aborder la sexualité avec son amie entre 2016 et 2017. Selon la psychologue [...], c’était lorsque les symptômes typiques de stress post traumatique étaient devenus handicapants et qu’B.R.________ n’arrivait plus à fonctionner qu’il avait trouvé le courage de parler. C’était à sa petite amie, puis à sa maîtresse de classe, qui l’avait conduit vers le psychologue scolaire, qu’il s’était confié. A ces deux dernières personnes, il avait dit qu’il ne voulait pas que sa mère soit au courant pour le moment, et qu’il avait des flashbacks et des problèmes pour dormir. Selon le psychologue scolaire, il était très affecté et en pleurs. Ce n’était que par hasard que la famille du plaignant avait finalement été mise au courant des faits litigieux, ce qui écartait la thèse de l’aliénation familiale. Les circonstances du dévoilement donnaient ainsi du crédit aux déclarations</w:t>
      </w:r>
    </w:p>
    <w:p>
      <w:r>
        <w:t>- 21 - de ce dernier et il était apparu éprouvé et bouleversé aux débats. Manifestement, il n’avait aucun intérêt à accuser faussement son père mais devait aller au bout d’un processus douloureux pour se reconstruire et non pour nuire à son père. Les considérations qui précèdent sont convaincantes et l’appelant ne parvient pas à les remettre en cause utilement. 3.2.2 Tout d’abord, il conteste avoir menti lors de son interrogatoire de police en soutenant ne pas voir compris la question qui lui était posée au sujet de ses antécédents, et en prétendant qu’il songeait à des infractions du même genre que celles dont il était accusé. Il est pourtant évident qu’il n’a pas répondu à la question conformément à la vérité et son argumentation est vaine pour une personne comprenant parfaitement le français et disposant d’un bon niveau d’instruction. L’observation faite en page 28 jugement est ainsi parfaitement fondée. Il en va de même du mensonge, évident, relatif à la rupture de ses relations avec ses enfants : l’intéressé a déclaré qu’il ne comprenait pas pourquoi ces rapports étaient rompus (PV aud. 5, R. 10), alors qu’il est établi que c’est lui qui en a décidé ainsi, en écrivant à la Présidente du Tribunal d'arrondissement de Lausanne qu'il renonçait à ses droits parentaux envers ses quatre fils au mois de mai 2013. L'appelant soutient ensuite que, pour autant que de tels mensonges soient établis, aucune conclusion ne pourrait en être tirée en relation avec les faits reprochés, mais il est évident que la propension à mentir dans une procédure pénale constitue un élément d'appréciation de la crédibilité à accorder à la version d’une partie. Quant au constat des premiers juges selon lequel ces variations et ces hésitations apparaissent dans les déclarations du prévenu avant même que celui-ci ait été informé qu'il faisait l'objet d'une plainte de son fils (jugt. p. 29), il est exact puisque, même si le prévenu connaissait la nature des infractions reprochées au début de son audition par la police, il ignorait de qui émanaient ces accusations. S’agissant des</w:t>
      </w:r>
    </w:p>
    <w:p>
      <w:r>
        <w:t>- 22 - variations du prévenu concernant le fait d’avoir ou non dormi avec l'un de ses enfants, elles sont bien établies, puisqu'il s'agissait d'une éventualité pour le prévenu au début de l'enquête (PV aud. 5, p. 7), exclue par la suite (cf. notamment PV aud. 12, I. 47). Enfin, la manœuvre d'intimidation en audience retenue par le tribunal a fait l'objet d'une constatation directe des premiers juges et il n'y a strictement aucune raison de mettre en doute ce constat, d'autant que le prévenu a bien déclaré à son fils en audience « tu vas rentrer dans ta vie d'adulte et je pense que tu ne pourras pas t'épanouir avec ce mensonge sur la conscience » (jugt. p. 5), ce qui relève bien d'une volonté de faire culpabiliser et donc d'intimider. Les considérations faites par les premiers juges quant à la crédibilité à donner aux déclarations, respectivement aux dénégations du prévenu ne prêtent donc pas non plus le flanc à la critique. Du reste, la mauvaise impression qui se dégage des auditions successives du prévenu s’est confirmée à l’audience d’appel, où l’intéressé a été jusqu’à déclarer qu’il pensait avoir été un père modèle, alors que tout le dossier et l’ensemble des déclarations de ses fils démontrent le contraire. 3.2.3 C'est à juste titre également que les premiers juges ont été convaincus par les déclarations du plaignant. Sur ce point, la Cour d’appel fait sienne la motivation particulièrement détaillée et pertinente figurant en pages 30 à 32 du jugement, résumée au considérant 3.2.1 ci-dessus. En particulier, le discours d’B.R.________ est empreint d'émotion. Dans son audition vidéo, la gêne est manifeste, mais le plaignant répond calmement et avec simplicité aux questions, ne cherche pas à accabler son père et n’hésite pas à le dire, lorsqu’il ne sait pas. Son récit est accompagné de détails qui ne peuvent qu’avoir été vécus, comme la douleur et la honte ressenties : « c'est comme si j'étais une marionnette ». Le contexte du dévoilement assoit en outre la crédibilité du plaignant, qui a compris seulement des années plus tard avoir été victime</w:t>
      </w:r>
    </w:p>
    <w:p>
      <w:r>
        <w:t>- 23 - d'un abus sexuel de la part de son père, qui a vécu des réminiscences (flashbacks) de plus en plus intrusives et qui s'est confié finalement à sa maîtresse de classe, qui l'a alors accompagné chez le psychologue scolaire. Tous deux ont décrit lors de leurs témoignages les mêmes éléments, soit que le plaignant disait avoir des problèmes de concentration, pour dormir et des flashbacks. Ils ont aussi confirmé qu’il ne souhaitait pas que les faits soient dévoilés à sa mère et ont constaté son émotion à l’évocation des faits (cf. PV aud. 8 et 10). En outre, la psychothérapeute [...] qui a suivi le plaignant a constaté des symptômes typiques de stress post traumatique. Le fait invoqué par l'appelant que le plaignant ait déclaré souhaiter que son père aille en prison et le fait qu'il l'ait décrit dans des termes très négatifs, notamment en se confiant au psychologue scolaire, ne le rendent pas moins crédible. En premier lieu, si les faits doivent être retenus – ce qui est le cas –, le ressentiment du plaignant et ses appréciations négatives envers son père sont alors fondés. B.R.________ n'est d'ailleurs pas le seul de la fratrie à émettre un avis très négatif sur le prévenu, qui est aussi décrit comme colérique et violent par ses frères D.R.________ et [...], et même l’intéressé a reconnu avoir été colérique avec ses enfants à l’audience d’appel. C'est donc en vain que l'appelant soutient que les premiers juges auraient procédé à une appréciation arbitraire des preuves. Au contraire, ils ont adéquatement pris en considération des éléments de preuve fondés et pertinents. Enfin, c'est également à juste titre que les premiers juges ont qualifié d'absurde la thèse de « l'aliénation parentale » en constatant que les faits avaient été révélés dans le contexte scolaire, que le plaignant ne voulait absolument pas en parler à sa mère et qu'il avait tenté de le cacher à ses frères, dont l’un d’eux avait découvert par hasard un document dans une veste, de sorte que les révélations sont sans rapport aucun avec une influence familiale quelconque. A cet égard, on relèvera que les lettres produites par l'ex-épouse de l'appelant dans la procédure</w:t>
      </w:r>
    </w:p>
    <w:p>
      <w:r>
        <w:t>- 24 - de divorce paraissent surtout concerner D.R.________ et ne constituent en rien un indice d'aliénation parentale pour le plaignant. 3.2.4 S'appuyant sur des extraits choisis de littérature médicale, l'appelant soutient que des changements de comportement auraient dû être perçus dans l'entourage du plaignant, s'il avait été réellement victime d’abus de son père. Il ne s'agit là que de considérations générales qui ne sont nullement suffisantes pour renverser les constatations faites par les premiers juges sur les conséquences psychologiques chez le plaignant des abus, révélées par sa psychothérapeute sous forme de symptômes typiques de stress post traumatique, de la souffrance manifestée lors de ses auditions et constatée par les personnes auxquelles il s’est confié, et des difficultés formulées par le plaignant au sujet de sa sexualité, qui sont autant de changements du comportement qui n'auraient pas été mis en évidence si les abus ne s'étaient pas produits. 3.2.5 C'est également en vain que, se muant en expert, l'appelant, par l'entremise de son défenseur, développe une théorie de « faux souvenirs » qui ne prend appui sur rien d’objectif et en tout cas pas sur le fait que le plaignant n'a compris que plus tard, lors de cours d'éducation sexuelle, qu'il avait été victime d'abus de son père. En effet, si l'on tient compte de l'âge de la victime au moment des faits, soit 6 ou 7 ans, il est tout à fait logique qu'il n'ait perçu la nature sexuelle de l'agression que bien plus tard. 3.2.6 L'appelant se prévaut encore de déclarations divergentes de la fratrie concernant la répartition des chambres dans lesquelles ils dormaient, mais ce point est sans incidence sur le sort de la cause, les premiers juges ne s'étant d'ailleurs pas prononcés à ce sujet. La détermination de la réalité des abus sexuels ne dépend pas du point de savoir si B.R.________ aurait ou non dormi avec son père, où et comment. En outre, les différences dans les déclarations au sujet de la sexualité ou du sommeil du plaignant telles qu'elles résultent de l'audition de l'ancienne petite amie, [...], ou de celles des frères ne concernent que</w:t>
      </w:r>
    </w:p>
    <w:p>
      <w:r>
        <w:t>- 25 - des points très secondaires qui peuvent s'expliquer par la perception subjective de chacun, et qui ne sont donc pas déterminants. 3.3 En conclusion, l'appelant, qui reconnaît dans sa déclaration d’appel ne pas avoir toujours été un père exemplaire, affirmant toutefois le contraire à l’audience d’appel, n’est aucunement crédible. L'ensemble des éléments au dossier montre qu'il a été violent avec ses fils, qu'il les a rejetés, que sa sexualité est déviante – même si aucun élément particulier ne démontre une attirance pour les enfants, il n’en demeure pas moins qu’il admet sa condamnation pour pornographie dure – et qu'il n'a cessé d'adopter une version purement défensive en rejetant la faute de son échec parental sur son ex-épouse. Il n'y a aucune raison d'écarter les déclarations claires et convaincantes du plaignant, qui sont corroborées tant par le récit des personnes à qui il s’est confié que par les symptômes constatés par sa psychothérapeute. La condamnation pour actes d'ordre sexuel avec des enfants et contrainte sexuelle de A.R.________ doit donc être confirmée, les qualifications juridiques n'étant au demeurant pas contestées. Il y a dès lors lieu de renvoyer sur ce point aux considérants pertinents du jugement (jugt. pp. 32 et 33), en application de l’art. 82 al. 4 CPP, étant précisé que la jurisprudence a encore assoupli la notion de pressions psychiques lorsqu'auteur et victime sont unis par un lien parental, la soumission de l'enfant devant simplement être compréhensible (ATF 146 IV 153 consid. 3.6), ce qui est le cas en l’espèce, compte tenu du caractère colérique du prévenu et de l’âge du plaignant au moment des faits. 4. La peine prononcée à l'encontre de A.R.________ n'est contestée que dans la mesure où il a conclu à son acquittement des chefs d’accusation d’actes d’ordre sexuel avec des enfants et de contrainte sexuelle. La peine fixée par les premiers juges l'a été conformément aux principes applicables (art. 40, 43, 47 et 49 al. 1 CP), compte tenu de sa culpabilité et de sa situation personnelle. Les éléments retenus en page 34 du jugement sont pertinents et il peut y être renvoyé (art. 82 al. 4 CPP).</w:t>
      </w:r>
    </w:p>
    <w:p>
      <w:r>
        <w:t>- 26 - Bien qu’en définitive clémente, la peine privative de liberté de 36 mois infligée par les premiers juges doit être confirmée, le principe de l’interdiction de la reformatio in pejus ne permettant pas d’augmenter la peine pour tenir compte du concours avec l’infraction de pornographie. Quant à l’octroi du sursis partiel avec délai d’épreuve de 2 ans, il ne peut qu’être confirmé puisqu’il est l’option la plus favorable que la loi offre au prévenu compte tenu de la durée de la peine et des condamnations prononcées antérieurement. 5. Dans la mesure où la condamnation de l’appelant est confirmée, il se justifie d’allouer au plaignant une indemnité pour le tort moral subi. En effet, celui-ci a souffert de stress post-traumatique ensuite des actes abjects commis sur lui par son père, et ces souffrances ont notamment été attestées par la psychothérapeute de l’intéressé, auprès de laquelle il a été suivi durant près d’une année, thérapie qui ne semble pas terminée à ce jour. Il a vécu des flashbacks intrusifs, de la honte, a eu des problèmes de concentration et des cauchemars, à tel point qu’il n’arrivait plus à fonctionner. Ainsi, l’indemnité de 12'000 fr. allouée à B.R.________ à charge de A.R.________ est adéquate et correspond aux souffrances de ce dernier. Son montant n’est du reste pas contesté. 6. Au vu de ce qui précède, l’appel de A.R.________ doit être rejeté et le jugement entrepris confirmé. Le défenseur d’office de A.R.________ a produit en audience une liste d’opérations faisant état d’une activité d’avocat breveté de 23 heures 25, ce qui est excessif pour un avocat expérimenté ayant déjà représenté son mandant en première instance et ayant dès lors une parfaite connaissance du dossier. Les postes intitulés « Etude du dossier et recherches » et « Préparation de l’audience d’appel », totalisant une activité de 9 heures, seront réduits de 6 heures, puisque l’avocat a déjà</w:t>
      </w:r>
    </w:p>
    <w:p>
      <w:r>
        <w:t>- 27 - comptabilisé 10 heures 15 pour la rédaction de la déclaration d’appel, de sorte que 3 heures de préparation étaient suffisantes pour le surplus. Le temps d’audience, surestimé, sera par ailleurs réduit de 45 minutes. C’est donc une indemnité de 3'424 fr. 85 qui sera allouée à Me Yann Oppliger pour la procédure d’appel, correspondant à 16,6 heures d’activité au tarif horaire de 180 fr., à 60 fr. de débours forfaitaires au taux de 2% (cf. art. 3bis al. 1 RAJ [Règlement sur l’assistance judiciaire en matière civile du 7 décembre 2010; BLV 211.02.3], applicable par renvoi de l’art. 26b TFIP [Tarif des frais de procédure et indemnités en matière pénale du 28 septembre 2010; BLV 312.03.1]), à 120 fr. de vacation et à 244 fr. 85 de TVA. Le conseil juridique gratuit d’B.R.________ a produit en audience une liste d’opérations dont il n’y a pas lieu de s’écarter, si ce n’est pour adapter le temps consacré à l’audience d’appel, surestimé d’une heure. C’est ainsi une indemnité de 1’987 fr. 95 qui sera allouée à Me Coralie Devaud pour la procédure d’appel, correspondant à 9,4 heures d’activité au tarif horaire de 180 fr., à 33 fr. 85 de débours forfaitaires au taux de 2%, à 120 fr. de vacation et à 142 fr. 10 de TVA. Vu l’issue de la cause, les frais de la procédure d’appel, par 7'792 fr. 80, constitués des émoluments de jugement et d’audience (art. 21 al. 1 et 2 TFIP), par 2’380 fr., et des indemnités précitées, seront mis à la charge de A.R.________, qui succombe (art. 428 al. 1 CPP). A.R.________ ne sera tenu de rembourser à l’Etat les indemnités allouées à son défenseur d’office et au conseil d’office du plaignant que lorsque sa situation financière le permettra (art. 135 al. 4 let. a CPP).</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