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PE18.002569 vom 12. Juni 2018</w:t>
      </w:r>
    </w:p>
    <w:p>
      <w:r>
        <w:t>VD Tribunal cantonal, 2018-06-12, FR</w:t>
      </w:r>
    </w:p>
    <w:p>
      <w:r>
        <w:rPr>
          <w:b/>
        </w:rPr>
        <w:t xml:space="preserve">Quelle: </w:t>
      </w:r>
      <w:r>
        <w:t>https://mcp.opencaselaw.ch/entscheid/vd_gerichte_PE18.002569</w:t>
      </w:r>
    </w:p>
    <w:p>
      <w:r>
        <w:t>FR: VD_GERICHTE PE18.002569 du 12 juin 2018</w:t>
      </w:r>
    </w:p>
    <w:p>
      <w:r>
        <w:t>IT: VD_GERICHTE PE18.002569 del 12 giugno 2018</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En l’espèce, le recours a été interjeté dans le délai légal et dans les formes prescrites (art. 385 al. 1 CPP) auprès de l’autorité compétente. Dès lors que le Ministère public a nié la qualité de partie plaignante du recourant, celui-ci dispose d’un intérêt juridiquement protégé à l’annulation ou à la modification de la décision attaquée et a donc qualité pour recourir au sens de l’art. 382 al. 1 CPP. Le recours est donc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si les conditions de l’art. 310 al. 1 let. a CPP sont réunies (TF 6B_940/2016 du 6 juillet 2017 consid. 3.3).</w:t>
      </w:r>
    </w:p>
    <w:p>
      <w:r>
        <w:t>- 4 -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fait grief au Procureur d’avoir considéré qu’il n’avait pas qualité pour porter plainte à l’encontre de son père. Il soutient qu’il serait directement lésé par l’absence de paiement de la part de son père de la contribution à son entretien et à son éducation telle que fixée par le Tribunal de Grande Instance de Chartres et, dès lors qu’il serait majeur, aurait seul qualité pour déposer plainte, à l’exclusion de sa mère.</w:t>
      </w:r>
    </w:p>
    <w:p>
      <w:r>
        <w:rPr>
          <w:b/>
        </w:rPr>
        <w:t>E. 3.2</w:t>
      </w:r>
    </w:p>
    <w:p>
      <w:r>
        <w:t>Aux termes de l’art. 217 al. 1 CP (Code pénal suisse du 21 décembre 1937 ; RS 311.0), celui qui n'aura pas fourni les aliments ou les subsides qu'il doit en vertu du droit de la famille, quoiqu'il en eût les moyens ou pût les avoir, sera, sur plainte, puni d'une peine privative de liberté de trois ans au plus ou d'une peine pécuniaire. Selon l’art. 30 al. 1 CP, si une infraction n’est punie que sur plainte, toute personne lésée peut porter plainte contre l’auteur. En matière de violation d’une obligation d’entretien, seul peut déposer une plainte pénale le lésé direct, respectivement son représentant légal, soit la mère à qui est confié l’enfant pour son entretien et son éducation (Dupuis et al., Petit commentaire du Code pénal, 2e éd., Bâle 2017, n. 31 ad art.</w:t>
      </w:r>
    </w:p>
    <w:p>
      <w:r>
        <w:t>- 5 - 217 CP et la référence citée). L’ex-conjoint ne peut intervenir en ce qui concerne la pension des enfants que jusqu’à l’âge de la majorité, mais non au-delà (Favre/Pellet/Stoudmann, Code pénal annoté, 3e éd., Lausanne 2007/2011, n. 2.1 ad art. 217 CP). En l’espèce, l’intérêt direct au paiement de la contribution d’entretien a toujours appartenu à l’enfant, mais était délégué à son représentant légal pendant sa minorité. Dès lors que l’enfant devenu majeur pourrait être aux études ou à la charge de sa mère, ce que le recourant n’allègue toutefois ni dans sa plainte, ni dans son recours, il aurait un intérêt direct à obtenir le paiement de la pension en question. L’ouverture d’une instruction se justifie dès lors à tout le moins pour examiner si les autres éléments constitutifs de l’infraction sont réunis.</w:t>
      </w:r>
    </w:p>
    <w:p>
      <w:r>
        <w:rPr>
          <w:b/>
        </w:rPr>
        <w:t>E. 4</w:t>
      </w:r>
    </w:p>
    <w:p>
      <w:r>
        <w:t>Au vu de ce qui précède, le recours interjeté par A.J.________ doit être admis. L’ordonnance attaquée doit être annulée et le dossier de la cause renvoyé au Ministère public de l’arrondissement de Lausanne pour qu’il procède à l’instruction dans le sens des considérants. Les frais de la procédure de recours, constitués en l’espèce du seul émolument d'arrêt, par 660 fr. (art. 20 al. 1 TFIP [Tarif des frais de procédure et indemnités en matière pénale du 28 septembre 2010 ; RSV 312.03.1]), sont laissés à la charge de l’Etat (art. 423 al. 1 CPP). Le recourant, qui a procédé avec l’assistance d’un avocat de choix et qui a obtenu gain de cause, a droit à une pleine indemnité pour les dépenses occasionnées par la procédure de recours (art. 433 al. 1 CPP, applicable par renvoi de l’art. 436 al. 1 CPP). Il ne quantifie toutefois pas sa prétention. La Cour considère que le recours a justifié une durée d’activité totale de trois heures d’avocat breveté, au tarif horaire de 300 fr. (art. 26a al. 3 TFIP), à hauteur de 900 fr., débours inclus. Cette indemnité sera augmentée d’un montant de 69 fr. 30, correspondant à la TVA au taux de 7,7 %, étant rappelé que si les indemnités au sens des art. 429 ss CPP ne sont pas soumises à la TVA (art. 18 al. 2 let. i LTVA [Loi fédérale régissant la taxe sur la valeur ajoutée du 12 juin 2009; RS</w:t>
      </w:r>
    </w:p>
    <w:p>
      <w:r>
        <w:t>- 6 - 641.20]), il convient de tenir compte du fait que les honoraires payés par la partie à son avocat y sont quant à eux soumis (CREP 19 mars 2015/91 consid. 3.1.2). L’indemnité totale s’élève ainsi à 969 fr. 30. Elle sera allouée au recourant, à la charge de l’Etat. Par ces motifs, la Chambre des recours pénale prononce : I. Le recours est admis. II. L’ordonnance du 21 février 2018 est annulée. III. Le dossier de la cause est renvoyé au Ministère public de l’arrondissement de Lausanne pour instruction dans le sens des considérants. IV. Les frais de la procédure de recours, par 660 fr. (six cent soixante francs), sont laissés à la charge de l’Etat. V. Une indemnité de 969 fr. 30 (neuf cent soixante-neuf francs et trente centimes) est allouée à A.J.________ pour la procédure de recours, à la charge de l’Etat. VI. L’arrêt est exécutoire. Le président : La greffière : Du Le présent arrêt, dont la rédaction a été approuvée à huis clos, est notifié, par l'envoi d'une copie complète, à : - Me David Abikzer (pour A.J.________), - Ministère public central,</w:t>
      </w:r>
    </w:p>
    <w:p>
      <w:r>
        <w:t>- 7 -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