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PE18.002366 vom 15. Oktober 2019</w:t>
      </w:r>
    </w:p>
    <w:p>
      <w:r>
        <w:t>VD Tribunal cantonal, 2019-10-15, FR</w:t>
      </w:r>
    </w:p>
    <w:p>
      <w:r>
        <w:rPr>
          <w:b/>
        </w:rPr>
        <w:t xml:space="preserve">Quelle: </w:t>
      </w:r>
      <w:r>
        <w:t>https://mcp.opencaselaw.ch/entscheid/vd_gerichte_PE18.002366</w:t>
      </w:r>
    </w:p>
    <w:p>
      <w:r>
        <w:t>FR: VD_GERICHTE PE18.002366 du 15 octobre 2019</w:t>
      </w:r>
    </w:p>
    <w:p>
      <w:r>
        <w:t>IT: VD_GERICHTE PE18.002366 del 15 ottobre 2019</w:t>
      </w:r>
    </w:p>
    <w:p>
      <w:pPr>
        <w:pStyle w:val="Heading2"/>
      </w:pPr>
      <w:r>
        <w:t>Erwägungen</w:t>
      </w:r>
    </w:p>
    <w:p>
      <w:r>
        <w:rPr>
          <w:b/>
        </w:rPr>
        <w:t>E. 28</w:t>
      </w:r>
    </w:p>
    <w:p>
      <w:r>
        <w:t>septembre 2017 serait pertinent pour apprécier les faits de la cause. Il en ressort que la sœur de C.________ n’a pas souhaité signer un avenant relatif à son activité, n’étant pas d’accord avec les termes de celui-ci. Ceci ne contredit pas les déclarations du témoin à l’audience de jugement, qui pouvait faire état d’événements postérieurs à la séance du 1er février 2017. Quoi qu’il en soit, la prétendue rancœur de la sœur du témoin évoquée par l’appelante – à supposer qu’elle existe – n’est pas de nature à rendre plus ou moins vraisemblables les déclarations de C.________ par rapport à celles d’Y.________. En effet, une forme de rancune a également pu naître chez le témoin Y.________ lorsque l’intimé lui a fait savoir qu’elle ne pourrait pas revenir travailler pour D.________. Y.________ a d’ailleurs écrit à l’intimé, le 1er septembre 2017, qu’elle ne s’attendait pas à ce qu’il la supprime définitivement, que cette nouvelle était un choc pour elle et qu’elle regrettait beaucoup cette situation (cf. P. 27). Le fait qu’Y.________ a déclaré qu’elle n’avait pas ressenti d’amertume (PV. aud. 2, ligne 107) n’est pas déterminant. L’intimé pouvait fonder sa défense sur les dires d’un témoin qui n’était pas partie à la procédure. Il n’y a pas de raison de privilégier les déclarations du témoin favorable à l’appelante par rapport celles du témoin favorable au prévenu. Dans la mesure où l’état de fait est douteux, on doit admettre, avec le premier juge, que ce doute doit profiter à l’intimé, qui conteste avoir tenu les propos évoqués par le témoin Y.________ (PV aud. 1, ligne 59). La réaudition de ce témoin, déjà entendu en cours d’enquête, n’aurait rien changé au fait que la version du témoin C.________ est divergente. Il y avait dès lors lieu de rejeter cette réquisition de preuve. Au vu de ce qui précède, c’est à raison que l’autorité de première instance a considéré que les faits reprochés à l’intimé s’agissant</w:t>
      </w:r>
    </w:p>
    <w:p>
      <w:r>
        <w:t>- 15 - de la séance du 1er février 2017 étaient basés sur les seules déclarations d’Y.________, auxquelles il ne pouvait pas être donné plus de crédit qu’à celles de C.________ ou du prévenu. 4. 4.1 L’appelante reproche à l’autorité de première instance d’avoir considéré que l’envoi à A.________ d’un courriel le 16 octobre 2017 et le contenu de celui-ci n’étaient pas susceptibles d’influer sur les rapports entre concurrents ou entre fournisseurs et clients et qu’ainsi une contravention à la LCD n’était pas établie. L’I.________, au sein de laquelle A.________ est responsable de la formation, serait le prestataire de services de l’appelante et donc son fournisseur. L’hébergement de formations professionnelles dans les locaux de l’appelante contribuerait à sa réputation et influencerait donc sur sa position au sein du marché envers ses clients et ses concurrents. De plus, l’I.________ paie la location des locaux à l’appelante, ce qui en ferait sa cliente. L’appelante requiert la réaudition comme témoin de M.________, l’intéressé étant susceptible d’établir que l’I.________ est la cliente de l’appelante. 4.2 4.2.1 L'art. 23 LCD dispose que quiconque, intentionnellement, se rend coupable de concurrence déloyale au sens des art. 3, 4, 4a, 5 ou 6 est, sur plainte, puni d'une peine privative de liberté de trois ans au plus ou d'une peine pécuniaire (al. 1). Peut porter plainte celui qui a qualité pour intenter une action civile selon les art. 9 et 10 (al. 2). Les actes typiques de l’infraction de concurrence déloyale sont mentionnés exhaustivement aux art. 3 à 6 LCD. En principe, le droit pénal n’intervient que lorsque les atteintes aux intérêts des particuliers ou de la collectivité sont si graves que la seule réparation du préjudice est insuffisante (Macaluso/Dutoit, in Martenet/Pichonnaz (édit.), Commentaire romand, Loi sur la concurrence déloyale, Bâle, 2017, nn. 14 et 16 ad art. 23 LCD). 4.2.2 La loi fédérale contre la concurrence déloyale vise à garantir, dans l'intérêt de toutes les parties concernées, une concurrence loyale et</w:t>
      </w:r>
    </w:p>
    <w:p>
      <w:r>
        <w:t>- 16 - qui ne soit pas faussée (art. 1 LCD). Cette loi ne concerne donc que le domaine de la concurrence, compris comme une compétition, une rivalité sur le plan économique entre des personnes qui offrent leurs prestations. Pour que les normes réprimant la concurrence déloyale s'appliquent, il ne suffit pas que le comportement incriminé apparaisse déloyal au regard de la liste d'exemples reproduits aux art. 3 à 8 LCD, mais il faut encore qu'il influe sur les rapports entre concurrents ou entre fournisseurs et clients (cf. art. 2 LCD in fine), notamment en influençant la décision des clients (cf. ATF 132 III 414 consid. 4.1.2). Autrement dit, l'acte doit influencer le jeu de la concurrence, le fonctionnement du marché. S'il n'est pas nécessaire que l'auteur de l'acte soit lui-même un concurrent ni qu'il ait la volonté d'influencer l'activité économique, l'acte doit cependant être objectivement propre à avantager ou désavantager une entreprise dans sa lutte pour acquérir de la clientèle, ou à accroître, respectivement diminuer ses parts de marché. La LCD ne protège pas la bonne foi de manière générale, mais tend seulement à garantir une concurrence loyale (cf. ATF 133 III 431 consid. 4.1 ; ATF 131 III 384 consid. 3 ; ATF 126 III 198 consid. 2c/aa ; TF 6B_1038/2018 du 29 mai 2019 consid. 5.1 ; TF 6B_106/2018 du 5 septembre 2018 consid. 2.4.1 ; TF 6B_887/2016 du 6 octobre 2016 consid. 5.1). 4.2.3 Aux termes de l'art. 3 let. a LCD, agit de façon déloyale celui qui dénigre autrui, ses marchandises, ses œuvres, ses prestations, ses prix ou ses affaires par des allégations inexactes, fallacieuses ou inutilement blessantes. Dénigrer signifie s'efforcer de noircir, de faire mépriser (quelqu'un ou quelque chose) en disant du mal, en attaquant, en niant les qualités. Un propos est dénigrant lorsqu'il rend méprisable le concurrent et ses marchandises, notamment. Tout propos négatif ne suffit pas : il doit revêtir un certain caractère de gravité. Une allégation n'est pas déjà illicite au sens de l'art. 3 let. a LCD du seul fait qu'elle dénigre un concurrent ;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w:t>
      </w:r>
    </w:p>
    <w:p>
      <w:r>
        <w:t>- 17 - respectivement de ses prestations au sens large, une image négative, outrancière, que la lutte économique ne saurait justifier (ATF 124 III 72 consid. 2b/aa ; TF 5A_585/2010 du 15 juin 2011 consid. 7.2 ; TF 4C.171/2006 du 16 mai 2007 consid. 6.1 et les réf. citées, reproduit in sic! 9/2007 p. 649). Le Tribunal fédéral a par exemple admis que des propos étaient inutilement blessants dans un cas où le recourant ne s’était pas contenté de relater sa version de son investissement dans la société intimée et de tenir des propos négatifs sur le comportement des administrateurs. Il avait aussi porté des jugements de valeur et d'appréciation en des termes forts – sous-entendant des comportements pénalement répréhensibles – qui renforçaient cette mauvaise image. Il avait en effet accusé les intimés de lui avoir « volé » plusieurs millions, les avait traités de « groupe criminel » et d'« escrocs » qui mériteraient d'être emprisonnés. Il avait également fait état de l'« existence de comptes bancaires cachés » et d'« évasion fiscale » (TF 5A_585/2010, déjà cité, consid. 7.3). 4.3 4.3.1 En l’espèce, le courriel litigieux a été adressé à A.________, qui est responsable d’une formation au sein de l’ [...], laquelle est dispensée à des aides-soignantes dans les locaux de l’appelante. En échange de la mise à disposition des locaux, les aides-soignantes employées par l’appelante se voient facturer des frais de formation réduits, ce qui constitue une contre-prestation. Contrairement à ce qu’a retenu l’autorité précédente, on doit dès lors admettre que A.________, respectivement l’I.________, fait partie de la clientèle de l’appelante, à qui elle fournit également des services. Au vu de son contenu, le courriel du 16 octobre 2017 était de nature à influencer la décision de A.________, respectivement de l’I.________, de continuer ou non à dispenser la formation dans les locaux de l’appelante et à former les assistantes-médicales employées par l’appelante à moindre coût. Ce qui précède suffit à retenir que l’envoi du courriel était susceptible d’influencer sur la concurrence, sans qu’il faille réentendre le témoin M.________, déjà entendu par le premier juge.</w:t>
      </w:r>
    </w:p>
    <w:p>
      <w:r>
        <w:t>- 18 - 4.3.2 Le fait que l’envoi du courriel du 15 octobre 2017 soit susceptible d’influencer la concurrence ne suffit pas à retenir qu’il serait constitutif d’un dénigrement déloyal. Pour justifier la condamnation que l’appelante appelle de ses veux, il faut encore que les allégations litigieuses atteignent une certaine gravité et qu’elles soient inexactes, fallacieuses ou inutilement blessantes. On relèvera tout d’abord qu’il est douteux que le contenu du courriel litigieux puisse être considéré comme atteignant un degré de gravité suffisant pour qu’on puisse retenir un dénigrement. Quoi qu’il soit, il n’est pas établi que le contenu du courriel serait inexact ou qu’il serait susceptible d’éveiller une impression fausse chez son destinataire. En particulier, dans sa plainte (P. 4), l’appelante s’est limitée à citer le texte du courriel et des références jurisprudentielles et doctrinales. Dans ses déterminations du 12 février 2019 (P. 10/1), l’appelante a en substance fait valoir qu’elle se distinguait sur le marché par la qualité de sa gestion pour contester l’existence d’un climat de travail délétère. Elle a également relevé que les assistantes-médicales ne pouvaient pas avoir accès à ses pratiques de management, de sorte qu’elles n’auraient pas pu qualifier celles-ci de toxiques. Elle a finalement contesté que des assistantes aient refusé de suivre sa formation ou qu’elles aient vécu une expérience traumatisante. Pour ce qui est de la question du treizième salaire, l’appelante s’est limitée à dire qu’elle en versait un. Elle a certes écrit qu’elle était disposée à fournir tout élément de preuve que l’autorité jugerait opportun. Elle n’a toutefois produit aucune pièce à l’appui de cette écriture. Elle a de plus considéré que l’audition des assistantes médicales serait inutile (P. 10/1/9). Certes, l’appelante a produit un bordereau de pièces le 7 octobre 2019, dont un contrat mentionnant un treizième salaire (P. 24/5). Celui-ci est toutefois non daté et ne suffit pas à apporter la preuve du caractère erroné des propos tenus par l’intimé. A supposer même qu’il soit établi que l’affirmation selon laquelle l’appelante ne verserait pas de treizième salaire serait fausse, celle-ci n’atteint de toute manière pas un niveau de gravité suffisant, ce d’autant que la question du treizième salaire avait été abordée par l’intimé en utilisant le conditionnel.</w:t>
      </w:r>
    </w:p>
    <w:p>
      <w:r>
        <w:t>- 19 - Les autres pièces produites à l’audience de jugement ne démontrent pas davantage le caractère erroné ou fallacieux des propos tenus par l’intimé. 4.3.3 Reste à examiner si les propos tenus par l’intimé peuvent être qualifiés d’inutilement blessants. L’intimé a expliqué aux débats de première instance qu’il avait adressé le courriel à A.________ après que des assistantes-médicales lui avaient fait part de leur détresse et de leur volonté de ne pas retourner dans les locaux de l’appelante, ayant perçu cette expérience comme traumatisante. Il se serait dès lors senti obligé, en sa qualité d’employeur, de prévenir la prénommée, puisque les assistantes souffraient psychologiquement de devoir retourner dans les locaux de l’appelante (jugement, pp. 4 et 5). Les propos tenus dépassent le but évoqué par l’intimé, en particulier lorsqu’ils font référence à la question du treizième salaire et aux pratiques de management. Toutefois, contrairement à ce qui est plaidé, on ne saurait retenir qu’ils sont formulés « sans la moindre réserve et de manière particulièrement vive » (cf. P. 47/14), au vu notamment de l’utilisation du conditionnel. On ne se trouve dès lors pas dans un cas où l’auteur des propos aurait porté des jugements de valeur et d'appréciation en des termes forts. Le contenu de ce courriel ne donne pas de l’appelante, respectivement de ses prestations au sens large, une image négative, outrancière, que la lutte économique ne saurait justifier. Force est dès lors de constater que les conditions de l’art. 3 let. a LCD ne sont pas réalisées, ce qui exclut une responsabilité pénale de l’intimé et l’application de l’art. 23 LCD. 5. 5.1 Selon l’appelante, le premier juge aurait dû envisager que les actes commis par l’intimé étaient constitutifs d’une atteinte à son honneur. Ainsi, le premier juge aurait dû s’écarter de l’acte d’accusation. L’appelante aurait été privée de son droit à être entendue sur l’appréciation juridique portée par le tribunal de première instance sur les faits de la cause.</w:t>
      </w:r>
    </w:p>
    <w:p>
      <w:r>
        <w:t>- 20 - 5.2 Les art. 173 ss CP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et la jurisprudence citée). L'honneur protégé par le droit pénal est conçu de façon générale comme un droit au respect, qui est lésé par toute assertion propre à exposer la personne visée au mépris en sa qualité d'être humain (ATF 132 IV 112 consid. 2.1 et la jurisprudence citée). En revanche, la réputation relative à l'activité professionnelle ou au rôle joué dans la communauté n'est pas pénalement protégée ; il en va ainsi des critiques qui visent comme tels la personne de métier, l'artiste, le politicien ou la politicienne, même si elles sont de nature à blesser et à discréditer (ATF 119 IV 44 consid. 2a ; TF 6B_119/2017 du 28 décembre 2017 consid. 4.1). Une personne morale est atteinte dans son honneur lorsqu'il est allégué qu'elle a une activité ou un but propre à la rendre méprisable selon les conceptions morales généralement admises, ou lorsqu'on la dénigre elle-même, en évoquant le comportement méprisable de ses organes ou employés (TF 6B_119/2017, déjà cité, et les réf. citées). Tel est le cas, par exemple, si elle est assimilée à une organisation criminelle ou à un parti politique que l'histoire a rendu méprisable ou encore si l'on suggère qu'elle a de la sympathie pour le régime nazi (cf. ATF 121 IV 76 consid. 2a/bb p. 82 ; TF 6S.504/2005 du 26 février 2006 consid. 2.1). 5.3 En l’espèce, à supposer que les infractions contre l’honneur aient pu être envisagées par l’autorité de première instance, celles-ci n’auraient pas dû être retenues. En effet, à l’instar de ce qui vient d’être dit s’agissant des propos inutilement blessants (cf. supra consid. 4.3.3), on ne saurait considérer que l’intimé a tenu des propos dont la gravité serait propre à faire apparaître l’appelante comme une personne méprisable selon les conceptions morales généralement admises.</w:t>
      </w:r>
    </w:p>
    <w:p>
      <w:r>
        <w:t>- 21 - 6. 6.1 L’appelante reproche finalement au premier juge d’avoir rejeté ses conclusions civiles, alors qu’elle n’avait pas pris de conclusions civiles chiffrées. 6.2 C’est à tort que le tribunal de première instance a rejeté les conclusions civiles de l’appelante. Il aurait en effet dû renvoyer l’intéressée à agir devant le juge civil, conformément à l’art. 126 al. 2 let. b CPP. 7. 7.1 En définitive, l’appel doit être très partiellement admis et le chiffre II du dispositif du jugement entrepris dans le sens du considérant qui précède (cf. supra consid. 6.2). 7.2 Vu l’issue de la cause, les frais de la procédure d’appel, constitués de l’émolument d’audience et de jugement, par 2'350 fr. (art. 21 al. 1 et 2 TFIP [tarif des frais de procédure et indemnités en matière pénale du 28 septembre 2010 ; BLV 312.03.1]), seront mis à la charge de l’appelante (art. 428 al. 1 CPP). L’admission très partielle de l’appel, sur un point de faible importance, ne justifie pas une autre répartition. 7.3 L’appelante versera à l’intimé une indemnité de 6'000 fr. pour les dépenses occasionnées par la procédure d’appel (art. 432 al. 2 et 436 CPP). La Cour d’appel pénale, appliquant les art. 23 LCD ; 398 ss et 422 ss CPP, prononce : I. L’appel est très partiellement admis.</w:t>
      </w:r>
    </w:p>
    <w:p>
      <w:r>
        <w:t>- 22 - II. Le jugement rendu le 15 octobre 2019 par le Tribunal de police de l’arrondissement de l’Est vaudois est modifié comme il suit au chiffre II de son dispositif, le dispositif du jugement étant désormais le suivant : « I. libère X.________ de l’infraction de violation à la loi contre la concurrence déloyale ; II. donne acte à F.________ de ses réserves civiles à l’encontre de X.________ et la renvoie à agir par la voie civile ; III. met les frais de justice, par 1'600 fr. (mille six cents francs) à la charge de X.________; IV. refuse d’allouer à X.________ une indemnité pour les dépenses occasionnées par l'exercice raisonnable de ses droits de procédure. » III. Les frais d'appel, par 2'350 fr. (deux mille trois cent cinquante francs) sont mis à la charge de F.________. IV. F.________ doit verser à X.________ une indemnité de 6'000 fr. (six mille francs) pour les dépenses occasionnées par la procédure d’appel. V. Le jugement motivé est exécutoire. Le président : La greffière : Du Le jugement qui précède, dont le dispositif a été communiqué par écrit aux intéressés le 28 août 2020, est notifié, par l'envoi d'une copie complète, à : - Me Guillaume Vionnet, avocat (pour F.________), - Me Stefan Disch, avocat (pour X.________), - Ministère public central,</w:t>
      </w:r>
    </w:p>
    <w:p>
      <w:r>
        <w:t>- 23 - et communiqué à : - Mme la Présidente du Tribunal de police de l'arrondissement de l’Est vaudois, - M. le Procureur de l'arrondissement de l’Est vaudois, par l'envoi de photocopies. Le présent jugement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