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PE18.002220 vom 28. August 2019</w:t>
      </w:r>
    </w:p>
    <w:p>
      <w:r>
        <w:t>VD Tribunal cantonal, 2019-08-28, FR</w:t>
      </w:r>
    </w:p>
    <w:p>
      <w:r>
        <w:rPr>
          <w:b/>
        </w:rPr>
        <w:t xml:space="preserve">Quelle: </w:t>
      </w:r>
      <w:r>
        <w:t>https://mcp.opencaselaw.ch/entscheid/vd_gerichte_PE18.002220</w:t>
      </w:r>
    </w:p>
    <w:p>
      <w:r>
        <w:t>FR: VD_GERICHTE PE18.002220 du 28 août 2019</w:t>
      </w:r>
    </w:p>
    <w:p>
      <w:r>
        <w:t>IT: VD_GERICHTE PE18.002220 del 28 agosto 2019</w:t>
      </w:r>
    </w:p>
    <w:p>
      <w:pPr>
        <w:pStyle w:val="Heading2"/>
      </w:pPr>
      <w:r>
        <w:t>Erwägungen</w:t>
      </w:r>
    </w:p>
    <w:p>
      <w:r>
        <w:rPr>
          <w:b/>
        </w:rPr>
        <w:t>E. 3.1</w:t>
      </w:r>
    </w:p>
    <w:p>
      <w:r>
        <w:t>B.________ fait valoir que le Procureur a motivé le classement uniquement par le fait qu’elle avait été condamnée pour diffamation par ordonnance pénale du même jour. Elle soutient que, par son opposition à cette ordonnance, la décision sur laquelle repose la motivation de l’ordonnance de classement n’existerait plus. Elle estime ainsi que « dans</w:t>
      </w:r>
    </w:p>
    <w:p>
      <w:r>
        <w:t>- 5 - la mesure où il n’y a plus de motivation », l’ordonnance de classement devrait être annulée dès lors qu’il n’y aurait plus de contestation possible de cette motivation.</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L'art. 173 ch. 2 CP prévoit que le prévenu n'encourt aucune peine s'il prouve que les allégations par lui articulées ou propagées sont conformes à la vérité, ou qu'il avait des raisons sérieuses de les tenir de bonne foi pour vraies. Il résulte de l'art. 173 ch. 2 CP que la bonne foi ne suffit pas; il faut encore que l'accusé ait eu des raisons sérieuses de croire à la véracité de ses allégations (ATF 124 IV 149 consid. 3b p. 151). La preuve de la bonne foi est apportée lorsque le prévenu démontre qu'il a accompli les actes que l'on pouvait exiger de lui pour contrôler la véracité de ce qu'il alléguait. Enfin,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(TF 6B_1225/2014 consid. 1.2 et les références citées).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(TF 6B_1100/2014 du 14 octobre 2015 consid. 4.1 et TF 6S.6/2002 du 6 février 2002 consid. 2a).</w:t>
      </w:r>
    </w:p>
    <w:p>
      <w:r>
        <w:t>- 6 -</w:t>
      </w:r>
    </w:p>
    <w:p>
      <w:r>
        <w:rPr>
          <w:b/>
        </w:rPr>
        <w:t>E. 3.3</w:t>
      </w:r>
    </w:p>
    <w:p>
      <w:r>
        <w:t>En l’occurrence, dans sa plainte pénale, la recourante a fait grief à D.________ d’avoir jeté sur elle le soupçon de tenir une conduite contraire à l’honneur en alléguant certains faits devant le Procureur. Or, il apparaît que les faits en cause sont confirmés par un message (P. 5/2) que la recourante elle-même admet avoir adressé à un tiers (PV aud. 2 p. 2 R7), pour avoir dit que D.________ et son conjoint étaient « hypocrites » et des « voleurs de restaurant » ; ils le sont aussi par un témoin, soit [...], qui a déclaré que la recourante lui avait dit que D.________ et son conjoint ne payaient pas tout ce qu’ils devaient et étaient couverts de dettes (PV aud. 3), ce qu’elle admet par ailleurs partiellement (PV aud. 4 p. 2, l. 56 ss et p. 3, l. 69 ss). Partant, indépendamment de la question de savoir si les assertions de B.________ font passer les personnes visées, dont D.________, pour méprisables (ce qui est l’objet de la procédure d’opposition à l’ordonnance pénale), il faut constater qu’en les rapportant au Procureur, cette dernière a propagé des soupçons sérieux et qu’elle était de bonne foi à cet égard ; on rappellera qu’elle s’est fondée sur un document (P. 5/2) ainsi que sur les dires d’un client (cf. PV aud. 3). Dans ces conditions, c’est à bon droit que le Procureur a retenu que toute condamnation pouvait être exclue, et a classé la procédure ouverte contre D.________.</w:t>
      </w:r>
    </w:p>
    <w:p>
      <w:r>
        <w:rPr>
          <w:b/>
        </w:rPr>
        <w:t>E. 4</w:t>
      </w:r>
    </w:p>
    <w:p>
      <w:r>
        <w:t>En définitive, le recours doit être rejeté sans échange d’écritures et l’ordonnance de classement confirmée. Les frais de la procédure de recours, constitués en l’espèce du seul émolument d’arrêt (art. 422 al. 1 CPP), par 660 fr. (art. 20 al. 1 TFIP [Tarif des frais de procédure et indemnités en matière pénale du 28 septembre 2010; BLV 312.03.1]), seront mis à la charge de la recourante, qui succombe (art. 428 al. 1 CPP).</w:t>
      </w:r>
    </w:p>
    <w:p>
      <w:r>
        <w:t>- 7 - Par ces motifs, la Chambre des recours pénale prononce : I. Le recours est rejeté. II. L’ordonnance du 18 mars 2019 est confirmée.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Benjamin Schwab, avocat (pour B.________), - Mme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