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PE18.001854 vom 16. Februar 2021</w:t>
      </w:r>
    </w:p>
    <w:p>
      <w:r>
        <w:t>VD Tribunal cantonal, 2021-02-16, FR</w:t>
      </w:r>
    </w:p>
    <w:p>
      <w:r>
        <w:rPr>
          <w:b/>
        </w:rPr>
        <w:t xml:space="preserve">Quelle: </w:t>
      </w:r>
      <w:r>
        <w:t>https://mcp.opencaselaw.ch/entscheid/vd_gerichte_PE18.001854</w:t>
      </w:r>
    </w:p>
    <w:p>
      <w:r>
        <w:t>FR: VD_GERICHTE PE18.001854 du 16 février 2021</w:t>
      </w:r>
    </w:p>
    <w:p>
      <w:r>
        <w:t>IT: VD_GERICHTE PE18.001854 del 16 febbraio 2021</w:t>
      </w:r>
    </w:p>
    <w:p>
      <w:pPr>
        <w:pStyle w:val="Heading2"/>
      </w:pPr>
      <w:r>
        <w:t>Erwägungen</w:t>
      </w:r>
    </w:p>
    <w:p>
      <w:r>
        <w:rPr>
          <w:b/>
        </w:rPr>
        <w:t>E. 1.1</w:t>
      </w:r>
    </w:p>
    <w:p>
      <w:r>
        <w:t>Les parties peuvent attaquer une ordonnance de classement rendue par le Ministère public en application des art. 319 ss CPP. Ce recours s’exerce auprès de l’autorité de recours (cf. art. 20 al. 1 let. b CPP) qui est, dans le canton de Vaud, la Chambre des recours pénale du Tribunal cantonal (art. 13 LVCPP [loi d’introduction du Code de procédure pénale suisse du 19 mai 2009; BLV 312.01]; art. 80 LOJV [loi d’organisation judiciaire du 12 décembre 1979; BLV 173.01]). Le recours doit être adressé par écrit, dans un délai de dix jours, à l’autorité de recours (art. 322 al. 2 et 396 al. 1 CPP).</w:t>
      </w:r>
    </w:p>
    <w:p>
      <w:r>
        <w:rPr>
          <w:b/>
        </w:rPr>
        <w:t>E. 1.2</w:t>
      </w:r>
    </w:p>
    <w:p>
      <w:r>
        <w:t>En l’espèce, interjetés dans le délai légal auprès de l’autorité compétente par la partie plaignante et par le prévenu, qui ont qualité pour recourir (art. 382 al. 1 CPP), les recours sont recevables. Vu leur connexité, il y a lieu de statuer par un seul arrêt sur les deux recours.</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Cette décision doit être prise en application du principe in dubio pro duriore, qui vaut également pour l'autorité judiciaire chargée de l'examen d'une décision de classement. Il signifie qu'en règle générale, un classement ou une non-entrée en matière ne peut être prononcé par le</w:t>
      </w:r>
    </w:p>
    <w:p>
      <w:r>
        <w:t>- 10 -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4.1.2 et réf. cit. ; TF 6B_116/2019 du 11 mars 2019 consid. 2.1). L'autorité de recours ne peut confirmer un classement au seul motif qu'une condamnation n'apparaît pas plus probable qu'un acquittement (TF 6B_874/2017 du 18 avril 2018 consid. 5.1 et réf. cit.).</w:t>
      </w:r>
    </w:p>
    <w:p>
      <w:r>
        <w:rPr>
          <w:b/>
        </w:rPr>
        <w:t>E. 2.1</w:t>
      </w:r>
    </w:p>
    <w:p>
      <w:r>
        <w:t>; ATF 134 IV 255 consid. 4.2.3 ; ATF 129 IV 119 consid. 2.1). La violation fautive d'un devoir de prudence doit par ailleurs avoir été la cause naturelle et adéquate des lésions subies par la victime (ATF 129 IV 123 consid. 2.4). Un comportement est la cause naturelle d'un résultat s'il en constitue l'une des conditions sine qua non. Il en est en outre la cause adéquate si, d'après le cours ordinaire des choses et l'expérience de la vie, il a été propre à entraîner un résultat du genre de celui qui s'est produit. La causalité adéquate peut cependant être exclue si une cause concomitante, par exemple une force naturelle, le comportement de la victime ou celui d'un tiers, constitue une circonstance tout à fait exceptionnelle ou apparaît si extraordinaire que l'on ne pouvait s'y attendre. Toutefois, l'imprévisibilité d'un acte concurrent ne suffit pas en soi à interrompre le lien de causalité adéquate ; il faut encore que cet acte ait une importance telle qu'il s'impose comme étant la cause la plus probable et la plus immédiate de l'événement considéré, reléguant à l'arrière-plan tous les autres facteurs qui ont contribué à l'amener et notamment le comportement de l'auteur (ATF 129 IV 282 consid. 2.1 p. 284 ; 127 IV 34 consid. 2a p. 39, 62 consid. 2d p. 65 ; 126 IV 13 consid. 7a/bb p. 17 ; 122 IV 17 consid. 2c/bb p. 23 ; 121 IV 207 consid. 2a p. 213).</w:t>
      </w:r>
    </w:p>
    <w:p>
      <w:r>
        <w:rPr>
          <w:b/>
        </w:rPr>
        <w:t>E. 3.1</w:t>
      </w:r>
    </w:p>
    <w:p>
      <w:r>
        <w:t>Le Ministère public a considéré que l'éblouissement dû aux rayons du soleil était tel que la visibilité de tous les automobilistes était réduite et les avaient contraints à freiner, créant une file s'immobilisant sur plusieurs voies de l'autoroute. La prévenue, qui a freiné brusquement, n'aurait fait qu'adapter sa vitesse aux conditions de la route, en tenant compte tant de la visibilité que du ralentissement du trafic. La procureure a d'ailleurs retenu la version de la prévenue qui a dit avoir freiné sans que son ABS se déclenche. Cette dernière n'aurait donc pas violé de règles de circulation. De toute manière, le lien de causalité adéquate aurait été rompu, puisque deux autres accidents s'étaient produits ce même jour au même moment. Enfin, le motocycliste aurait joué un rôle prépondérant dans l'accident en arrivant à une vitesse inadaptée et en vouant une attention insuffisante au trafic qui ralentissait.</w:t>
      </w:r>
    </w:p>
    <w:p>
      <w:r>
        <w:rPr>
          <w:b/>
        </w:rPr>
        <w:t>E. 3.2</w:t>
      </w:r>
    </w:p>
    <w:p>
      <w:r>
        <w:t>Le recourant soutient que la procureure aurait violé l’art. 125 CP en retenant que T.________ n’avait pas commis d’imprévoyance coupable, qu’elle avait usé des précautions commandées par les circonstances et que son comportement n’était pas en causalité naturelle et adéquate avec les blessures dont il a souffert. En outre, le Ministère public aurait violé l’art. 319 al. 1 let. b CPP et, notamment, le principe in</w:t>
      </w:r>
    </w:p>
    <w:p>
      <w:r>
        <w:t>- 11 - dubio pro duriore, puisqu’il subsisterait des doutes sur la situation factuelle du dossier.</w:t>
      </w:r>
    </w:p>
    <w:p>
      <w:r>
        <w:rPr>
          <w:b/>
        </w:rPr>
        <w:t>E. 3.3.1</w:t>
      </w:r>
    </w:p>
    <w:p>
      <w:r>
        <w:t>Agit par négligence au sens de l’art. 125 CP susmentionné (cf. consid. 3.2.)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 TF 6B_631/2018 du 24 octobre 2018 consid. 1).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ATF 135 IV 56 consid. 2.1 p. 64; ATF 134 IV 255 consid. 4.2.3 p. 262). En second lieu, la violation du devoir de prudence doit être fautive, c'est-à-dire qu'il faut pouvoir reprocher à l'auteur une inattention ou un manque d'effort blâmable (ATF 135 IV 56 consid. 2.1 p. 64; 134 IV 255 consid. 4.2.3 p. 262 et les références citées).</w:t>
      </w:r>
    </w:p>
    <w:p>
      <w:r>
        <w:t>- 12 - Il faut en outre qu'il existe un rapport de causalité entre la violation fautive du devoir de prudence et les lésions de la victime. Les concepts de causalité naturelle et adéquate ont été rappelés aux ATF 143 III 242 consid. 3.7 p. 249 s. et ont notamment été précisés aux ATF 133 IV 158 consid. 6.1 p. 167 s. et 131 IV 145 consid. 5 p. 147 ss, auxquels on peut se référer. Ainsi, lorsqu’il y a violation des règles de la prudence – en l’occurrence de règles de circulation routière – il faut encore se demander si cette violation peut être imputée à faute, c'est-à-dire si l'on peut reprocher à son auteur, compte tenu de ses circonstances personnelles, d'avoir fait preuve d'un manque d'effort blâmable (ATF 135 IV 56 consid.</w:t>
      </w:r>
    </w:p>
    <w:p>
      <w:r>
        <w:rPr>
          <w:b/>
        </w:rPr>
        <w:t>E. 3.3.2</w:t>
      </w:r>
    </w:p>
    <w:p>
      <w:r>
        <w:t>Aux termes de l'art. 90 al. 1 de la loi fédérale sur la circulation routière (LCR; RS 741.01), celui qui viole les règles de la circulation prévues par cette loi ou par les dispositions d'exécution émanant du Conseil fédéral est puni de l'amende. Selon l'art. 90 al. 2 LCR, celui qui,</w:t>
      </w:r>
    </w:p>
    <w:p>
      <w:r>
        <w:t>- 13 - par une violation grave d'une règle de la circulation, crée un sérieux danger pour la sécurité d'autrui ou en prend le risque est puni d'une peine privative de liberté de trois ans au plus ou d'une peine pécuniaire.</w:t>
      </w:r>
    </w:p>
    <w:p>
      <w:r>
        <w:rPr>
          <w:b/>
        </w:rPr>
        <w:t>E. 3.3.3</w:t>
      </w:r>
    </w:p>
    <w:p>
      <w:r>
        <w:t>L'art. 26 al. 1 LCR dispose que chacun doit se comporter, dans la circulation, de manière à ne pas gêner ni mettre en danger ceux qui utilisent la route conformément aux règles établies.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(ATF 143 IV 500 consid. 1.2.4 p. 505 s.; 143 IV 138 consid. 2.1 p. 140; 125 IV 83 consid. 2b p. 87 et les références citées).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143 IV 500 consid. 1.2.4 p. 506 ; ATF 129 IV 282 consid. 2.2.1 p. 285 et les références citées).</w:t>
      </w:r>
    </w:p>
    <w:p>
      <w:r>
        <w:rPr>
          <w:b/>
        </w:rPr>
        <w:t>E. 3.3.4</w:t>
      </w:r>
    </w:p>
    <w:p>
      <w:r>
        <w:t>D'après l'art. 31 al. 1 LCR, le conducteur devra rester constamment maître de son véhicule de façon à pouvoir se conformer aux devoirs de la prudence. L'art. 32 al. 1 LCR prévoit que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Cette règle implique notamment qu'on ne peut circuler à la vitesse</w:t>
      </w:r>
    </w:p>
    <w:p>
      <w:r>
        <w:t>- 14 - maximale autorisée que si les conditions de la route, du trafic et de visibilité sont favorables (ATF 121 IV 286 consid. 4b p. 291; plus récemment TF 6B_23/2016 du 9 décembre 2016 consid. 3.1 ; TF 6B_1247/2013 du 13 mars 2014 consid. 3.1). La violation de l'art. 32 al. 1 LCR n'est pas subordonnée à la condition de la perte de maîtrise du véhicule (TF 6B_23/2016 du 9 décembre 2016 consid. 3.1 ; TF 4A_76/2009 du 6 avril 2009 consid. 3.2). En outre, l'art. 4 al. 1 de l'ordonnance sur les règles de la circulation routière (OCR; RS 741.11) précise que le conducteur ne doit pas circuler à une vitesse qui l'empêcherait de s'arrêter sur la distance à laquelle porte sa visibilité ; lorsque le croisement est malaisé, il doit pouvoir s'arrêter sur la moitié de cette distance. Le principe de la possibilité d’arrêt sur la distance de visibilité, posé par l’art. 4 al. 1 OCR, est applicable, de jour, dans les circonstances les plus diverses, notamment lorsque les conditions atmosphériques réduisent la visibilité ; ainsi, en cas de forte pluie, de brouillard, de fumée rabattue sur la route ou d’éblouissement par le soleil (Bussy/Rusconi/Jeanneret/Kuhn/Mizel/Müller, Code suisse de la circulation routière commenté, 4e éd. 2015, n. 1.18 et 1.20 ad art. 32 LCR, pp. 400 s. et les réf. cit.) ; en particulier, en cas d’éblouissement, le conducteur ébloui doit adapter sa vitesse au fait qu’il voit moins loin que normalement et, s’il est aveuglé au point de ne plus rien voir, il doit immédiatement s’arrêter et ne continuer que s’il voit suffisamment loin (Bussy et alii, op. et loc. cit. ; ATF 77 IV 100). L'art. 34 al. 4 LCR prévoit que le conducteur doit observer une distance suffisante notamment lorsque des véhicules se suivent. Cette disposition est concrétisée à l'art. 12 al. 1 OCR selon lequel lorsque des véhicules se suivent, le conducteur se tiendra à une distance suffisante du véhicule qui le précède, afin de pouvoir s'arrêter à temps en cas de freinage inattendu. L'irrespect d'une distance suffisante constitue une violation simple (art. 90 al. 1 LCR), le cas échéant grave (art. 90 al. 2 LCR) des règles de la circulation. Ce qu'il faut comprendre par "distance suffisante" au sens de l'art. 34 al. 4 LCR doit être déterminé au regard de toutes les circonstances, telles en particulier que la configuration des lieux, la densité du trafic, la visibilité et le véhicule en cause (TF</w:t>
      </w:r>
    </w:p>
    <w:p>
      <w:r>
        <w:t>- 15 - 6B_110/2017 du 12 octobre 2017 consid. 2.1). Il n'y a pas de règle générale développée par la jurisprudence qui indiquerait à partir de quelle distance une violation des règles de la circulation pourrait être retenue. Les règles des deux secondes ou du "demi compteur" (correspondant à un intervalle de 1.8 secondes) constituent cependant des standards minimaux habituellement reconnus (ATF 131 IV 133 consid. 3.1 p. 135 s. ; TF 6B_110/2017 du 12 octobre 2017 consid. 2.1). Par principe, l'automobiliste qui circule devant n'a pas à tenir compte de la possible inattention de celui qui le suit (ATF 115 IV 248 consid. 3). Il est néanmoins tenu à certaines obligations envers le véhicule qui suit. Ainsi, l’art. 37 al. 1 LCR prévoit que le conducteur qui veut s'arrêter aura égard, dans la mesure du possible, aux véhicules qui le suivent. D’après la jurisprudence, il résulte de la lettre de cette disposition qu’elle ne concerne que le cas d’un arrêt volontaire, et par conséquent prévisible ; tel n’est pas le cas d’un conducteur qui est contraint de freiner brusquement en raison de circonstances externes, par exemple en raison d’un véhicule circulant devant lui, ou de l’apparition soudaine d’un obstacle ; dans une telle situation qui oblige le conducteur à concentrer toute son attention vers l’avant, on ne saurait exiger de celui-ci qu’il ne freine pas brusquement ou qu’après s’être assuré dans le rétroviseur qu’il ne se trouve pas derrière lui un véhicule qu’il pourrait éventuellement mettre en danger (ATF 115 IV 248 consid. 4, JdT 1989 I 693 ss, spéc. 696). De manière plus générale, l'art. 26 al. 1 LCR prescrit que chacun doit se comporter, dans la circulation, de manière à ne pas gêner ni mettre en danger ceux qui utilisent la route conformément aux règles établies. La jurisprudence a déduit de cette règle le principe dit de la confiance, qui permet à l'usager qui se comporte réglementairement d'attendre de tous les autres usagers, aussi longtemps que des circonstances particulières ne doivent pas l'en dissuader, qu'ils se comportent également de manière conforme aux règles de la circulation, c'est-à-dire ne le gênent ni ne le mettent en danger (ATF 143 IV 138 consid. 2.1 p. 140 ; 125 IV 83 consid. 2b p. 87).</w:t>
      </w:r>
    </w:p>
    <w:p>
      <w:r>
        <w:t>- 16 -</w:t>
      </w:r>
    </w:p>
    <w:p>
      <w:r>
        <w:rPr>
          <w:b/>
        </w:rPr>
        <w:t>E. 3.3.5</w:t>
      </w:r>
    </w:p>
    <w:p>
      <w:r>
        <w:t>L’art. 12 al. 2 OCR précise que, sauf nécessité, les coups de frein et arrêts brusques ne sont admis que si aucun véhicule ne suit. D’après la jurisprudence, toutefois, la notion de « nécessité » figurant à l’art. 12 al. 2 OCR doit être interprétée largement et au vu de la jurisprudence rendue à propos de l’art. 37 al. 1 LCR, qu’il concrétise : il s’ensuit que cette disposition interdit exclusivement l’arrêt brusque et inutile (ATF 115 IV 248 consid. 4), ce qui n’est pas le cas si un obstacle (par exemple un animal) se présente devant le véhicule (cf. ATF 115 IV 248 consid. 5), mais ce qui est le cas si le véhicule ralentit ou s’arrête brusquement sans raison ou par chicane (ATF 137 IV 326 consid. 3.3, JdT 2012 IV 279 ; ATF 117 IV 504 consid. 1, JdT 1991 I 694 ; TF 6B_797/2014 du 23 décembre 2014 consid. 1) ; la question de savoir si un freinage brusque a eu lieu sans motif ne peut pas être résolue de manière générale, mais uniquement au regard des circonstances concrètes du cas d’espèce (ATF 115 IV 248 consid. 4).</w:t>
      </w:r>
    </w:p>
    <w:p>
      <w:r>
        <w:rPr>
          <w:b/>
        </w:rPr>
        <w:t>E. 3.4</w:t>
      </w:r>
    </w:p>
    <w:p>
      <w:r>
        <w:t>En l’occurrence, il ressort du rapport de police du 9 novembre 2017 (P. 7), que si la prévenue a déclaré avoir dû freiner brusquement en raison d’un bouchon sur les voies, G.________ a expliqué avoir été surpris par un véhicule arrêté sur la voie centrale et ne pas avoir compris pourquoi un véhicule était arrêté à cet endroit. L'ami du motard, [...], a confirmé avoir dû placer sa main pour se protéger du soleil et avoir fortement ralenti car il était trop ébloui. Selon le procès-verbal de confrontation de la prévenue et du plaignant du 8 avril 2019 (PV aud. 3), la première nommée a expliqué que les trois voies devant elle étaient bouchées et qu'elle n'avait pas d'autre choix que de ralentir, ajoutant avoir enclenché les feux d'urgence; après s'être arrêtée quelques secondes, le bouchon se résorbant, elle aurait redémarré et c'est à ce moment-là que la moto l'aurait heurtée; elle a toutefois admis avoir freiné une deuxième fois de manière un peu brusque sur 5 mètres. Selon le témoin [...] (PV aud. 4), il n'y avait aucun véhicule sur la voie du milieu, alors que les voitures étaient à l'arrêt sur la voie de droite. Toutefois, selon le témoin [...] (PV aud. 5), qui est le gendarme étant intervenu sur les lieux de l'accident, les circonstances dues au soleil étaient exceptionnelles et les véhicules « pilaient » sur les freins. Il a parlé d’une boule de feu et qu’il</w:t>
      </w:r>
    </w:p>
    <w:p>
      <w:r>
        <w:t>- 17 - n’avait jamais vu ça de toute sa carrière. Quant au témoin [...] (PV aud. 6), il se souvenait s'être dit au sujet de la voiture de la prévenue « putain, pourquoi elle s'arrête celle-là ? » et l'avait dépassée par la gauche, voyant dans le rétroviseur peu après le conducteur de la moto passer par-dessus la voiture; pour ce témoin, il n'y avait pas de voiture sur la voie de la prévenue, soit celle du milieu, mais des voitures sur celle de droite; il a ajouté que s'il n'avait pas pu la dépasser par la gauche, il lui serait rentré dedans. Selon le témoin [...] (PV aud. 2), un nuage de fumée se serait dégagé de la voiture de la prévenue qui se serait soudainement arrêtée, la circulation étant ralentie en raison du soleil. Enfin, le témoin [...] (PV aud. 1) a confirmé les conditions très difficiles dues au soleil, de même que le fait d'une part que la moto du plaignant l'avait dépassée à une vitesse qu'il estimait risquée au vu de la faible visibilité, mais aussi que les voies de circulation n'étaient pas bouchées et que les voitures ralentissaient mais continuaient à circuler. Au vu de ce qui précède, on ne saurait retenir que la situation de fait est simple, de nombreuses questions devant être appréciées sur la base des divers éléments, notamment des témoignages qui ne vont pas tous dans le même sens. La procureure a retenu que, sur la base d'une vraisemblance confinant à la certitude, un classement s'imposait, la prévenue ayant usé de toutes les précautions commandées par les circonstances en freinant en raison de l'éblouissement. L'ordonnance retient que c'est le comportement du plaignant qui a joué un rôle prépondérant dans l'accident en circulant à une vitesse inadaptée et en ne voyant que tardivement la voiture qui freinait. Quant au témoin [...], son témoignage serait mis à néant par celui de sa passagère [...], qui aurait confirmé le blocage des voies. Ces affirmations ne sont pas exactes si l'on reprend précisément les termes utilisés, le témoin [...] ayant expliqué ne pas avoir été attentive à ce qui se passait sur l'autoroute et ajoutant qu'il n'y avait aucun véhicule sur la voie du milieu. Quoi qu'il en soit, toutes les personnes entendues ont confirmé que, s'il y avait du soleil rendant la situation particulièrement difficile et expliquant le ralentissement des files, il n’était pas établi que la prévenue avait effectivement des voitures devant elle, sur la file du milieu, qui auraient justifié un freinage aussi</w:t>
      </w:r>
    </w:p>
    <w:p>
      <w:r>
        <w:t>- 18 - brusque. L'appréciation de la situation est complexe et, comme l'exige la jurisprudence, elle doit relever du juge matériellement compétent. Il incombera dès lors à la procureure de dresser un acte d’accusation.</w:t>
      </w:r>
    </w:p>
    <w:p>
      <w:r>
        <w:rPr>
          <w:b/>
        </w:rPr>
        <w:t>E. 4</w:t>
      </w:r>
    </w:p>
    <w:p>
      <w:r>
        <w:t>Il s’ensuit que le recours de G.________ doit être admis, l'ordonnance entreprise annulée et le dossier de la cause renvoyé au Ministère public de l'arrondissement de Lausanne pour qu’il procède dans le sens des considérants. Au vu de l’admission du recours de G.________, le recours de la plaignante T.________ contre l’ordonnance de classement, qui tend à ce qu’une indemnité au sens de l’art. 429 al. 1 let. a CPP à hauteur de 6'935 fr. 85 lui soit allouée, a perdu son objet. G.________, qui a procédé avec l’assistance d’un avocat de choix, a droit à une indemnité pour les dépenses occasionnées par la procédure de recours. Cette indemnité sera fixée à 1’500 fr., sur la base de 5 heures d’activité au tarif horaire d’avocat de 300 fr. (art. 26a al. 3 TFIP [Tarif des frais de procédure et indemnités en matière pénale du 28 septembre 2010 ; BLV 312.03.1]), à laquelle s’ajoutent 2 % pour les débours (art. 19 al. 2 TDC [Tarif des dépens en matière civile du 23 novembre 2010 ; BLV 270.11.6] par renvoi de l'art. 26a al. 6 TFIP) et 7,7 % pour la TVA, ce qui correspond à la somme totale de 1’648 fr. en chiffres arrondis. Les frais de la procédure de recours, par 1’870 fr. (art. 20 al. 1 TFIP), ainsi que l’indemnité allouée au recourant, par 1’648 fr., seront mis à la charge de T.________ qui a conclu au rejet du recours et qui succombe (art. 428 al. 1 CPP).</w:t>
      </w:r>
    </w:p>
    <w:p>
      <w:r>
        <w:t>- 19 - Par ces motifs, la Chambre des recours pénale prononce : I. Le recours de G.________ est admis. II. Le recours de T.________ est sans objet. III. L’ordonnance du 29 septembre 2020 est annulée. IV. Le dossier de la cause est renvoyé au Ministère public de l’arrondissement de Lausanne pour qu’il procède dans le sens des considérants. V. Les frais d’arrêt, par 1’870 fr. (mille huit cent septante francs), sont mis à la charge de T.________. VI. Une indemnité de 1’648 fr. (mille six cent quarante-huit francs) est allouée à G.________ pour la procédure de recours, à la charge de T.________. VII. L’arrêt est exécutoire. Le président : La greffière : Du Le présent arrêt, dont la rédaction a été approuvée à huis clos, est notifié, par l'envoi d'une copie complète, à : - Me Marcel Waser, avocat (pour T.________), - Me Jacques Roulet, avocat (pour G.________), - Ministère public central, et communiqué à : - Mme la Procureure de l’arrondissement de Lausanne, - Service de la population, - Service des automobiles et de la navigation, par l’envoi de photocopies.</w:t>
      </w:r>
    </w:p>
    <w:p>
      <w:r>
        <w:t>- 20 -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