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PE18.001464 vom 30. September 2019</w:t>
      </w:r>
    </w:p>
    <w:p>
      <w:r>
        <w:t>VD Tribunal cantonal, 2019-09-30, FR</w:t>
      </w:r>
    </w:p>
    <w:p>
      <w:r>
        <w:rPr>
          <w:b/>
        </w:rPr>
        <w:t xml:space="preserve">Quelle: </w:t>
      </w:r>
      <w:r>
        <w:t>https://mcp.opencaselaw.ch/entscheid/vd_gerichte_PE18.001464</w:t>
      </w:r>
    </w:p>
    <w:p>
      <w:r>
        <w:t>FR: VD_GERICHTE PE18.001464 du 30 septembre 2019</w:t>
      </w:r>
    </w:p>
    <w:p>
      <w:r>
        <w:t>IT: VD_GERICHTE PE18.001464 del 30 settembre 2019</w:t>
      </w:r>
    </w:p>
    <w:p>
      <w:pPr>
        <w:pStyle w:val="Heading2"/>
      </w:pPr>
      <w:r>
        <w:t>Erwägungen</w:t>
      </w:r>
    </w:p>
    <w:p>
      <w:r>
        <w:rPr>
          <w:b/>
        </w:rPr>
        <w:t>E. 5.1</w:t>
      </w:r>
    </w:p>
    <w:p>
      <w:r>
        <w:t>L'appelant soutient que le fait qu'il ait été sous l'influence de cocaïne lors de la survenance du viol et de la contrainte sexuelle aurait dû</w:t>
      </w:r>
    </w:p>
    <w:p>
      <w:r>
        <w:t>- 22 - entraîner à tout le moins une atténuation de la peine en application de l'art. 19 al. 2 CP.</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w:t>
      </w:r>
    </w:p>
    <w:p>
      <w:r>
        <w:rPr>
          <w:b/>
        </w:rPr>
        <w:t>E. 5.2.2</w:t>
      </w:r>
    </w:p>
    <w:p>
      <w:r>
        <w:t>Le juge doit ordonner une expertise non seulement lorsqu'il éprouve effectivement des doutes quant à la pleine responsabilité de l'inculpé, mais aussi lorsque, d'après les circonstances du cas particulier, il aurait dû en éprouver, c'est-à-dire lorsqu'il se trouve en présence d'indices sérieux propres à faire douter de la responsabilité pleine et entière de l'inculpé (ATF 119 IV 120 consid. 2a ; ATF 118 IV 6 consid. 2). Entre autres exemples de tels indices, la jurisprudence et la doctrine citent une contradiction manifeste entre l'acte et la personnalité de l'auteur, le comportement aberrant du prévenu, un séjour antérieur</w:t>
      </w:r>
    </w:p>
    <w:p>
      <w:r>
        <w:t>- 23 - dans un hôpital psychiatrique, une interdiction prononcée en vertu du code civil, une attestation médicale, l'alcoolisme chronique, la dépendance aux stupéfiants, la possibilité que la culpabilité ait été influencée par un état affectif particulier, ou encore l'existence de signes d'une faiblesse d'esprit ou d'un retard mental (ATF 116 IV 273 consid. 4a ; ATF 102 IV 74 consid 1 b). 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116 IV 273 consid. 4b). Il s'agit largement d'une question d'appréciation (ATF 102 IV 225 consid. 7b). L'expérience enseigne que maintes maladies et maints comportements dépendent du psychisme. Estimer qu'il y a matière à doute quant à la responsabilité chaque fois qu'il est possible, voire vraisemblable, que les actes ont aussi une origine psychique serait excessif (arrêt Str.84/1983 du 7 septembre 1983, publié in SJ 1984 p. 160, consid. 3 ; ATF 102 IV 225 consid. 7b). En ce qui concerne la consommation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(cf. arrêt non publié 6S.703/1995 du 26 mars 1996 consid. 1c). Le seul fait que l'auteur s'adonne à la consommation de drogue ne suffit pas à faire douter de sa pleine responsabilité, lorsqu'il n'est pas établi que cette consommation a eu les incidences qui viennent d'être décrites lors de l'accomplissement de l'acte reproché (cf. arrêt 6S.703/1995 précité, consid. 1c).</w:t>
      </w:r>
    </w:p>
    <w:p>
      <w:r>
        <w:rPr>
          <w:b/>
        </w:rPr>
        <w:t>E. 5.2.3</w:t>
      </w:r>
    </w:p>
    <w:p>
      <w:r>
        <w:t>Aux termes de l'art. 19 al. 2 CP, le juge atténue la peine si, au moment d'agir, l'auteur ne possédait que partiellement la faculté</w:t>
      </w:r>
    </w:p>
    <w:p>
      <w:r>
        <w:t>- 24 -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précité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précité,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w:t>
      </w:r>
    </w:p>
    <w:p>
      <w:r>
        <w:t>- 25 -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précité, consid. 5.7).</w:t>
      </w:r>
    </w:p>
    <w:p>
      <w:r>
        <w:rPr>
          <w:b/>
        </w:rPr>
        <w:t>E. 5.3</w:t>
      </w:r>
    </w:p>
    <w:p>
      <w:r>
        <w:t>La culpabilité de l'appelant est très lourde. Il a violé et contraint sexuellement la plaignante. Il l'a blessée, contrainte, menacée, injuriée et calomniée. Il a eu un comportement particulièrement odieux envers elle et sans aucun mobile. S'y ajoutent les infractions à la loi fédérale sur les stupéfiants, tous les délits routiers, ainsi que l'infraction de dénonciation calomnieuse, pour un total impressionnant de 17 infractions et 6 états de fait. L'appelant occupe la justice sans discontinuer depuis qu'il est mineur, ayant déjà subi pas moins de six condamnations alors qu'il n'est âgé que de 25 ans. Il se moque de l'ordre juridique suisse et des autorités, au point même de refuser la mise en œuvre d'une expertise psychiatrique dans le cadre de la procédure d'appel, qui pourtant aurait pu lui être favorable. Il n'a absolument rien appris des 20 jours de privation de liberté subis pour une précédente condamnation, ainsi que des 70 jours détention provisoire subis dans le cadre d'une nouvelle affaire en cours, puisqu'il a persisté à commettre des actes répréhensibles. En effet, à peine était-il sorti de détention provisoire qu'il a saccagé l'appartement familial (cf. P. 42/1 et 42/2 avec photographies), a conduit alors qu'il était aviné et sous le coup d'une mesure administrative de retrait de permis et a tenté de se faire passer pour une autre personne lors d'un contrôle routier. En outre, l'appelant n'a eu cesse de minimiser ses actes jusqu'en première instance. La prise de conscience exprimée au cours de l'audience d'appel semble bien maigre, puisqu'il considère qu'il n'a que « un peu brutalisé » son ex-compagne et qu'il persiste à nier la contrainte sexuelle et le viol à son encontre. Il n'y a aucun élément à décharge, hormis la jeunesse et l'impulsivité de l'intéressé.</w:t>
      </w:r>
    </w:p>
    <w:p>
      <w:r>
        <w:t>- 26 - S'agissant de la quotité de la peine, il sera retenu 18 mois de privation de liberté pour le viol et la contrainte sexuelle, qui constituent les infractions les plus graves, 12 mois pour les infractions contre la liberté (menaces et contrainte), 12 mois pour les infractions contre l'intégrité corporelle (lésions corporelles), contre l'honneur (calomnie) et contre l'administration de la justice (dénonciation calomnieuse), ainsi que 12 mois pour les multiples infractions à la LCR et à la LStup, soit au total 54 mois de privation de liberté. L'appelant a refusé de se soumettre à une expertise psychiatrique afin de déterminer sa responsabilité pénale. En effet, à la suite des refus essuyés les 17 janvier et 6 mars 2020 par les experts, le défenseur de l'appelant a confirmé, le 13 mars 2020, que ce dernier refusait toujours absolument cet acte d'instruction. Au cours de l'audience d'appel, X.________ a déclaré qu'il avait refusé l'expertise car il ne voulait plus se souvenir de cette période de sa vie et « ressasser tout ça ». Comme exposé ci-dessus (consid. 4.3), on ne peut nier la consommation régulière de l'intéressé de cocaïne. Celui-ci est d'ailleurs également condamné dans la présente affaire pour avoir consommé régulièrement du cannabis, de la cocaïne ainsi que des ecstasys. En outre, la sœur du prévenu, qui a déposé plainte contre lui après qu'il avait saccagé l'appartement, mais a retiré sa plainte quelques jours plus tard (jgt, p. 20), a expliqué que son frère était violent physiquement et verbalement envers les membres de sa famille, qu'il consommait de l'alcool et de la drogue et que cela amplifiait son agressivité (P. 42/1). On peut néanmoins relever que ces consommations ne l'empêchaient pas d'avoir une vie normale, puisqu'il a travaillé durant la période litigieuse, notamment en qualité de gérant d'une boîte de nuit, et qu'il a pu conduire et avoir des relations sexuelles. De plus, il a indiqué au cours de l'audience d'appel qu'il ne prenait aucune médication, ce qui permet d'exclure une véritable dépendance aux produits stupéfiants. Quant à l'imprégnation concrète au moment des faits, elle n'est pas établie. D'après l'expérience générale de la vie et les expertises rendues en la matière, à supposer qu'une expertise psychiatrique ait eu</w:t>
      </w:r>
    </w:p>
    <w:p>
      <w:r>
        <w:t>- 27 - lieu, la consommation de produits stupéfiants de l'appelant telle que décrite ci-dessus ne conduirait qu'à une diminution légère de responsabilité, ayant pour effet de diminuer la faute de très lourde à lourde, de sorte que la peine privative de liberté aurait été réduite, au mieux de 54 à 42 mois. La quotité de la peine privative de liberté prononcée par les premiers juges ne prête par conséquent pas le flanc à la critique et doit être confirmée.</w:t>
      </w:r>
    </w:p>
    <w:p>
      <w:r>
        <w:rPr>
          <w:b/>
        </w:rPr>
        <w:t>E. 6.1</w:t>
      </w:r>
    </w:p>
    <w:p>
      <w:r>
        <w:t>L'appelant conteste son expulsion.</w:t>
      </w:r>
    </w:p>
    <w:p>
      <w:r>
        <w:rPr>
          <w:b/>
        </w:rPr>
        <w:t>E. 6.2.1</w:t>
      </w:r>
    </w:p>
    <w:p>
      <w:r>
        <w:t>Aux termes de l'art. 66a al. 1 let. h CP, entré en vigueur le 1er octobre 2016, le juge expulse de Suisse l'étranger qui est condamné notamment pour contrainte sexuelle et viol,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w:t>
      </w:r>
    </w:p>
    <w:p>
      <w:r>
        <w:t>- 28 -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et les références). La loi ne définit pas ce qu'il faut entendre par une « situation personnelle grave » (première condition cumulative) ni n'indique les critères à prendre en compte dans la pesée des intérêts (seconde condition cumulative).</w:t>
      </w:r>
    </w:p>
    <w:p>
      <w:r>
        <w:rPr>
          <w:b/>
        </w:rPr>
        <w:t>E. 6.2.2</w:t>
      </w:r>
    </w:p>
    <w:p>
      <w:r>
        <w:t>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D'après une jurisprudence constante, les relations visées par l'art. 8 CEDH sont avant tout celles qui concernent la famille dite nucléaire, soit celles qui existent entre époux ainsi qu'entre parents et enfants mineurs vivant en ménage commun (ATF 144 II 1 consid. 6.1 ; ATF 135 1143 consid. 1.3.2). Tous les immigrés établis, indépendamment de la durée de leur résidence dans le pays dont ils sont censés être expulsés, n'ont pas nécessairement une « vie familiale » au sens de l'art. 8 CEDH. Toutefois,</w:t>
      </w:r>
    </w:p>
    <w:p>
      <w:r>
        <w:t>- 29 -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6B_695/2018 du 15 novembre 2018 consid. 4.3). En recourant à la notion de cas de rigueur dans le cadre de l'art. 66a al. 2 CP, le législateur a fait usage d'un concept ancré depuis longtemps dans le droit des étrangers (cf. art. 30 al. 1 let. b ou 50 al. 1 let. b de la loi fédérale sur les étrangers [LEtr ; RS 142.20], ainsi que l'art. 14 de la loi sur l'asile [LAsi ;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w:t>
      </w:r>
    </w:p>
    <w:p>
      <w:r>
        <w:t>- 30 -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du 21 août 2018 consid. 2.4 et 2.5 et les références).</w:t>
      </w:r>
    </w:p>
    <w:p>
      <w:r>
        <w:rPr>
          <w:b/>
        </w:rPr>
        <w:t>E. 6.2.3</w:t>
      </w:r>
    </w:p>
    <w:p>
      <w:r>
        <w:t>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du 7 novembre 2018 consid. 1.5 ; TF 6B_724/2018 du 30 octobre 2018 consid. 2.5 ; TF 6B_371/2018 du 21 août 2018 consid. 3.2).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(TF 6B_506/2017 du 14 février 2018 consid. 2.2).</w:t>
      </w:r>
    </w:p>
    <w:p>
      <w:r>
        <w:rPr>
          <w:b/>
        </w:rPr>
        <w:t>E. 6.3</w:t>
      </w:r>
    </w:p>
    <w:p>
      <w:r>
        <w:t>L'intérêt privé de l'appelant à pouvoir demeurer en Suisse n'est pas prédominant. Certes, il est arrivé dans notre pays à l'âge de</w:t>
      </w:r>
    </w:p>
    <w:p>
      <w:r>
        <w:rPr>
          <w:b/>
        </w:rPr>
        <w:t>E. 7</w:t>
      </w:r>
    </w:p>
    <w:p>
      <w:r>
        <w:t>En définitive, l'appel de X.________ doit être rejeté et le jugement entrepris confirmé. Conformément à l’art. 51 CP, la détention subie depuis le jugement de première instance sera déduite de la peine privative de liberté prononcée. Le maintien en détention de X.________ en exécution anticipée de peine (art. 220 al. 2 CPP) est ordonné, pour des motifs de sûreté et afin de garantir son expulsion. Me Véronique Fontana, défenseur d'office de l'appelant en remplacement de Me Pierre H. Blanc, a produit une liste d'opérations indiquant 24h55 de travail et cinq déplacements au lieu de détention de l'appelant. Les 6h30 de conversations téléphoniques avec l'appelant et 13h15 consacrées à la rédaction de l'appel paraissent excessives, de sorte qu'il sera retranché respectivement une heure et trois heures d'activité de ces postes. Cinq déplacements sur le lieu de détention de l'appelant ne se justifient pas, si bien qu'il sera retenu deux déplacements. Par</w:t>
      </w:r>
    </w:p>
    <w:p>
      <w:r>
        <w:t>- 32 - conséquent, en tenant compte de 20h55 d'activité au tarif horaire de 180 fr., de 2 % pour les débours forfaitaires, soit 75 fr. 30, de deux déplacements à 120 fr. et d'une vacation pour l'audience d'appel à 120 fr. (art. 2, 3 et 3bis RAJ [règlement sur l'assistance judiciaire en matière civile du 7 décembre 2010 ; BLV 211.02.3] par renvoi de l'art. 26b TFIP [Tarif des frais de procédure et indemnités en matière pénale du 28 septembre 2010 ; BLV 312.03.1]), l'indemnité d'office s'élève à 4'523 fr. 70, TVA comprise. La liste des opérations produite par Me Coralie Germond, conseil juridique gratuit de la plaignante, indiquant 5h de travail effectué par elle-même et 7h30 de travail effectué par Me Camille Junod, est admise, hormis l'audience d'appel qui a été surévaluée de 30 min. pour Me Junod. Au tarif horaire de 180 fr. pour l'avocate et de 110 fr. pour l'avocate-stagiaire, le défraiement s'élève à 1'670 fr., auquel il faut ajouter 2 % pour les débours forfaitaires, soit 33 fr. 40, et 80 fr. pour la vacation de l'audience d'appel. L'indemnité d'office s'élève ainsi à 1'920 fr. 70, TVA comprise. Vu l’issue de la cause, les frais de la procédure d’appel, soit l’émolument de jugement par 3'340 fr. (art. 21 al. 1 et 2 TFIP), l'émolument de l'ordonnance de la Cour d'appel pénale du 11 décembre 2019 par 200 fr., l'indemnité du défenseur d'office de l'appelant par 4'523 fr. 70 et l'indemnité du conseil juridique gratuit de la plaignante par 1'920 fr. 70, soit au total 9'984 fr. 40, seront mis à la charge de l'appelant, qui succombe (art. 428 al. 1 CPP). L’appelant ne sera tenu de rembourser l’indemnité en faveur de son défenseur d'office que lorsque sa situation financière le permettra (art. 135 al. 4 let. a CPP).</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