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PE18.001028 vom 4. Juni 2018</w:t>
      </w:r>
    </w:p>
    <w:p>
      <w:r>
        <w:t>VD Tribunal cantonal, 2018-06-04, FR</w:t>
      </w:r>
    </w:p>
    <w:p>
      <w:r>
        <w:rPr>
          <w:b/>
        </w:rPr>
        <w:t xml:space="preserve">Quelle: </w:t>
      </w:r>
      <w:r>
        <w:t>https://mcp.opencaselaw.ch/entscheid/vd_gerichte_PE18.001028</w:t>
      </w:r>
    </w:p>
    <w:p>
      <w:r>
        <w:t>FR: VD_GERICHTE PE18.001028 du 4 juin 2018</w:t>
      </w:r>
    </w:p>
    <w:p>
      <w:r>
        <w:t>IT: VD_GERICHTE PE18.001028 del 4 giugno 2018</w:t>
      </w:r>
    </w:p>
    <w:p>
      <w:pPr>
        <w:pStyle w:val="Heading2"/>
      </w:pPr>
      <w:r>
        <w:t>Erwägungen</w:t>
      </w:r>
    </w:p>
    <w:p>
      <w:r>
        <w:rPr>
          <w:b/>
        </w:rPr>
        <w:t>E. 1</w:t>
      </w:r>
    </w:p>
    <w:p>
      <w:r>
        <w:t>Né le [...] 1963 à Lucerne et résidant à [...] (OW), R.________ est actionnaire majoritaire de la société [...] AG, à [...]. Il réalise un salaire mensuel net de 10'000 francs.</w:t>
      </w:r>
    </w:p>
    <w:p>
      <w:r>
        <w:t>- 3 - Son casier judiciaire est vierge et il n’a aucune inscription au fichier ADMAS.</w:t>
      </w:r>
    </w:p>
    <w:p>
      <w:r>
        <w:rPr>
          <w:b/>
        </w:rPr>
        <w:t>E. 1.1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est recevable.</w:t>
      </w:r>
    </w:p>
    <w:p>
      <w:r>
        <w:rPr>
          <w:b/>
        </w:rPr>
        <w:t>E. 1.2</w:t>
      </w:r>
    </w:p>
    <w:p>
      <w:r>
        <w:t>S'agissant d'un appel dirigé contre un jugement portant sur une contravention et seule la question d’une indemnité étant litigieuse, la procédure écrite est applicable (art. 406 al. 1 let. c et d CPP) et la cause ressort de la compétence d'un juge unique (art. 14 al. 3 LVCPP [loi vaudoise d'introduction du Code de procédure pénale suisse du 19 mai 2009 ; RSV 312. 01]).</w:t>
      </w:r>
    </w:p>
    <w:p>
      <w:r>
        <w:rPr>
          <w:b/>
        </w:rPr>
        <w:t>E. 2</w:t>
      </w:r>
    </w:p>
    <w:p>
      <w:r>
        <w:t>Selon l’art. 398 al. 4 CPP, lorsque seules des contraventions ont fait l’objet de la procédure de première instance – comme en l’espèce –,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 et 23 ad art. 398 CPP). Le pouvoir d’examen de l’autorité d’appel est ainsi limité dans l’appréciation des faits à ce qui a été établi de manière arbitraire, la formulation de l’art. 398 al. 4 CPP correspondant à celle de l’art. 97 al. 1 LTF (Loi sur le Tribunal fédéral du 17 juin 2005 ; RS 173.110) (TF 6B_1247/2013 du 13 mars 2014 consid. 1.2 ; TF 6B_362/2012 du 29 octobre 2012 consid. 5.2 et les références citées). En revanche, la</w:t>
      </w:r>
    </w:p>
    <w:p>
      <w:r>
        <w:t>- 5 - juridiction d’appel peut revoir librement le droit (Kistler Vianin, op. cit., n. 25 ad art. 398 CPP). L’art. 398 al. 4 CPP s’applique tant au jugement pénal qu’à ses conséquences, notamment au sort des frais et des indemnités (TF 6B_603/2014 du 9 janvier 2015 consid. 2).</w:t>
      </w:r>
    </w:p>
    <w:p>
      <w:r>
        <w:rPr>
          <w:b/>
        </w:rPr>
        <w:t>E. 3.1</w:t>
      </w:r>
    </w:p>
    <w:p>
      <w:r>
        <w:t>Le Ministère public soutient que l’accusation portait uniquement sur une contravention, que la cause était simple, l’argument invoqué purement factuel et l’impact particulier de l’amende sur la vie personnelle ou professionnelle du prévenu pas établi, de sorte que l’intervention d’un avocat ne se justifiait pas. L’intimé fait valoir que son conseil est d’abord intervenu comme interprète. Il soutient qu’il ne pouvait pas se présenter seul alors que le Préfet avait maintenu son ordonnance pénale et fait encore valoir qu’il y avait un risque lié « à l’atteinte potentielle au droit de conduire, outil indispensable à l’exercice de [son] activité économique ».</w:t>
      </w:r>
    </w:p>
    <w:p>
      <w:r>
        <w:rPr>
          <w:b/>
        </w:rPr>
        <w:t>E. 3.2</w:t>
      </w:r>
    </w:p>
    <w:p>
      <w:r>
        <w:t>Selon l’art. 429 al. 1 let. a CPP, le prévenu qui est acquitté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 TF 6B_237/2016 du 18 juillet 2016 consid. 3.1). L’allocation d’une indemnité pour frais de défense selon l’art. 429 al. 1 let. a CPP n’est pas limitée aux cas de défense obligatoire visés par l’art. 130 CPP. Elle peut être accordée dans les cas où le recours</w:t>
      </w:r>
    </w:p>
    <w:p>
      <w:r>
        <w:t>- 6 - à un avocat apparait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138 IV 197 consid. 2.3.5 ; TF 6B_237/2016 précité).</w:t>
      </w:r>
    </w:p>
    <w:p>
      <w:r>
        <w:rPr>
          <w:b/>
        </w:rPr>
        <w:t>E. 3.3</w:t>
      </w:r>
    </w:p>
    <w:p>
      <w:r>
        <w:t>En l’espèce, il ressort des faits retenus en première instance que le prévenu n’a aucune inscription à son casier judiciaire ou à son fichier ADMAS. Seule une contravention étant en jeu, il n’était pas exposé à un retrait de permis, dont les critères sont fixés aux art. 16 à 16c LCR (Loi fédérale sur la circulation routière ; RS 741.01). Pour se défendre, le prévenu a fait valoir que ce n’était pas lui qui conduisait la voiture au moment de l’excès de vitesse. La photographie étant floue, le premier juge a admis qu’on ne pouvait pas établir l’identité du conducteur. La cause était donc extrêmement simple, de sorte que le prévenu était en mesure de se défendre seul. Le fait que celui-ci ne comprenne peut-être pas le français ne justifiait pas à lui seul le recours à un avocat. Il aurait en effet simplement pu expliquer ne pas parler français et demander un interprète aux autorités de poursuite pénale. Le premier juge a d’ailleurs estimé que l’assistance d’un avocat n’était « pas nécessairement indispensable ». Celle-ci était en réalité déraisonnable. Il s’ensuit qu’aucune indemnité ne saurait être allouée à l’intimé pour les dépenses occasionnées par l’exercice raisonnable de ses droits de procédure.</w:t>
      </w:r>
    </w:p>
    <w:p>
      <w:r>
        <w:t>- 7 -</w:t>
      </w:r>
    </w:p>
    <w:p>
      <w:r>
        <w:rPr>
          <w:b/>
        </w:rPr>
        <w:t>E. 4</w:t>
      </w:r>
    </w:p>
    <w:p>
      <w:r>
        <w:t>En définitive, l’appel du Ministère public doit être admis et le chiffre III du jugement entrepris réformé, en ce sens que les conclusions du prévenu tendant à l’allocation d’une indemnité fondée sur l’art. 429 al. 1 let. a CPP sont rejetées. Le jugement doit être maintenu pour le surplus. Vu l’issue de la cause, les frais d’appel, constitués du seul émolument d’arrêt, par 540 fr. (art. 21 al. 1 TFIP [Tarif des frais de procédure et indemnités en matière pénale du 28 septembre 2010 ; RSV 312.03.1]), seront mis à la charge de R.________, qui succombe dès lors qu’il a conclu au rejet de l’appel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