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PE18.000483 vom 13. März 2020</w:t>
      </w:r>
    </w:p>
    <w:p>
      <w:r>
        <w:t>VD Tribunal cantonal, 2020-03-13, FR</w:t>
      </w:r>
    </w:p>
    <w:p>
      <w:r>
        <w:rPr>
          <w:b/>
        </w:rPr>
        <w:t xml:space="preserve">Quelle: </w:t>
      </w:r>
      <w:r>
        <w:t>https://mcp.opencaselaw.ch/entscheid/vd_gerichte_PE18.000483</w:t>
      </w:r>
    </w:p>
    <w:p>
      <w:r>
        <w:t>FR: VD_GERICHTE PE18.000483 du 13 mars 2020</w:t>
      </w:r>
    </w:p>
    <w:p>
      <w:r>
        <w:t>IT: VD_GERICHTE PE18.000483 del 13 marzo 2020</w:t>
      </w:r>
    </w:p>
    <w:p>
      <w:pPr>
        <w:pStyle w:val="Heading2"/>
      </w:pPr>
      <w:r>
        <w:t>Erwägungen</w:t>
      </w:r>
    </w:p>
    <w:p>
      <w:r>
        <w:rPr>
          <w:b/>
        </w:rPr>
        <w:t>E. 6.1</w:t>
      </w:r>
    </w:p>
    <w:p>
      <w:r>
        <w:t>Selon l'art. 47 CO (Code des obligations du 30 mars 1911;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w:t>
      </w:r>
    </w:p>
    <w:p>
      <w:r>
        <w:t>- 30 -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 ATF 134 III 97; 132 II 117 consid. 2.2.2; TF 6B_970/2010 du 23 mai 2011 consid. 1.1.2).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w:t>
      </w:r>
    </w:p>
    <w:p>
      <w:r>
        <w:rPr>
          <w:b/>
        </w:rPr>
        <w:t>E. 6.2</w:t>
      </w:r>
    </w:p>
    <w:p>
      <w:r>
        <w:t>En l’espèce, à l’instar des premiers juges, il y a lieu de considérer que la plaignante a fait l’objet de maltraitances réitérées, sur une période de plusieurs mois, qu’elle a été blessée dans sa chair mais aussi psychologiquement, qu’elle a été humiliée et a subi un stress important. Il en est résulté une perte de confiance en soi, de la méfiance vis-à-vis d’autrui et un repli sur soi. Outre qu’il a conclu à son</w:t>
      </w:r>
    </w:p>
    <w:p>
      <w:r>
        <w:t>- 31 - acquittement et au rejet des prétentions civiles, l’appelant n’explique pas en quoi ce raisonnement serait critiquable. Quoi qu’il en soit, si la plaignante n’a pas suivi une psychothérapie, elle s’en est remise à ses amis et deux témoins ont confirmé en première instance qu’elle avait été très marquée. Au jour de l’audience d’appel, elle devait encore prendre des médicaments en lien avec le traumatisme qu’elle a subi. Partant, l’indemnité de 4'000 fr. allouée par les premiers juges est justifiée tant dans son principe que dans sa quotité, et elle doit être confirmée.</w:t>
      </w:r>
    </w:p>
    <w:p>
      <w:r>
        <w:rPr>
          <w:b/>
        </w:rPr>
        <w:t>E. 7</w:t>
      </w:r>
    </w:p>
    <w:p>
      <w:r>
        <w:t>Au vu de ce qui précède, l’appel doit être rejeté et le jugement du 13 mars 2020 confirmé. Le défenseur d’office de G.________ a produit en audience une liste d’opérations dont il n’y a pas lieu de s’écarter, si ce n’est pour réduire le temps consacré à l’audience d’appel, qui a été surestimé. C’est ainsi une indemnité de 1'928 fr. 65 qui sera allouée à Me Adrienne Favre pour la procédure d’appel, correspondant à 9,1 heures d’activité au tarif horaire de 180 fr., à 32 fr. 75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à 120 fr. de vacation et à 137 fr. 90 de TVA. Le conseil juridique gratuit de I.________ a produit en audience une liste d’opérations dont il n’y a pas lieu de s’écarter, si ce n’est pour réduire le temps consacré à l’audience d’appel, qui a été surestimé. C’est ainsi une indemnité de 1’501 fr. 45 qui sera allouée à Me Coralie Germond pour la procédure d’appel, correspondant à 2,16 heures d’activité au tarif horaire de 180 fr., à 8,16 heures d’activité au tarif horaire de 110 fr., à 25 fr. 75 de débours au taux forfaitaire de 2%, à 80 fr. de vacation et à 107 fr. 35 de TVA.</w:t>
      </w:r>
    </w:p>
    <w:p>
      <w:r>
        <w:t>- 32 - Vu l’issue de la cause, les frais de la procédure d’appel, par 6'866 fr. 75, constitués des émoluments de jugement et d’audience (art. 21 al. 1 et 2 TFIP), par 3'120 fr., des frais de gardiennage du véhicule du jugement de première instance jusqu’à ce que le chiffre VII de ce jugement ait été déclaré exécutoire (cf. P. 78), par 316 fr. 65 (98 jours à 3 fr. plus la TVA), ainsi que des indemnités d’office précitées, seront mis à la charge de G.________, qui succombe (art. 428 al. 1 CPP). G.________ ne sera tenu de rembourser à l’Etat les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