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PE17.025444 vom 7. Februar 2018</w:t>
      </w:r>
    </w:p>
    <w:p>
      <w:r>
        <w:t>VD Tribunal cantonal, 2018-02-07, FR</w:t>
      </w:r>
    </w:p>
    <w:p>
      <w:r>
        <w:rPr>
          <w:b/>
        </w:rPr>
        <w:t xml:space="preserve">Quelle: </w:t>
      </w:r>
      <w:r>
        <w:t>https://mcp.opencaselaw.ch/entscheid/vd_gerichte_PE17.025444</w:t>
      </w:r>
    </w:p>
    <w:p>
      <w:r>
        <w:t>FR: VD_GERICHTE PE17.025444 du 7 février 2018</w:t>
      </w:r>
    </w:p>
    <w:p>
      <w:r>
        <w:t>IT: VD_GERICHTE PE17.025444 del 7 febbraio 2018</w:t>
      </w:r>
    </w:p>
    <w:p>
      <w:pPr>
        <w:pStyle w:val="Heading2"/>
      </w:pPr>
      <w:r>
        <w:t>Erwägungen</w:t>
      </w:r>
    </w:p>
    <w:p>
      <w:r>
        <w:rPr>
          <w:b/>
        </w:rPr>
        <w:t>E. 1</w:t>
      </w:r>
    </w:p>
    <w:p>
      <w:r>
        <w:t>Le recours a été interjeté dans le délai légal (art. 322 al. 2 CPP [Code de procédure pénale suisse du 5 octobre 2007; RS 312.0], par renvoi de l'art. 310 al. 2 et art. 396 al. 1 CPP) contre une décision du Ministère public (art. 393 al. 1 let. a CPP), par la partie plaignante qui a qualité pour recourir (art. 382 al. 1 CPP) et dans les formes prescrites (art. 385 al. 1 CPP). Il est donc recevable à la forme. En revanche, le courrier du 8 avril 2018, déposé après l'échéance du délai de recours et après la reddition du présent arrêt, est irrecevable.</w:t>
      </w:r>
    </w:p>
    <w:p>
      <w:r>
        <w:rPr>
          <w:b/>
        </w:rPr>
        <w:t>E. 2</w:t>
      </w:r>
    </w:p>
    <w:p>
      <w:r>
        <w:t>; Dupuis et al. [éd.], Petit commentaire, Code pénal, 2e éd., Bâle 2017, nn. 3, 11 et 13 ad art. 144 CP). L'infraction est intentionnelle. Le dol éventuel suffit (Dupuis et al. [éd.], Petit commentaire, Code pénal, 2e éd., Bâle 2017, op. cit., n. 16 ad art. 144 CP et les réf. ; Hurtado Pozzo, Droit pénal, Partie spéciale, 2e éd. Zürich 2009, no 1097 p. 327) ; dans ce cas, l'auteur prévoit qu'il va probablement porter préjudice à une chose et, par sa façon d'agir, accepte la survenance du dommage (Hurtado Pozzo, ibidem).</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1B_183/2012 du 20 novembre 2012 consid. 3). Selon la jurisprudence, cette disposition doit être appliquée conformément à l'adage in dubio pro duriore (TF 6B_898/2017 du 8 mars 2018 consid. 3.1). Celui-ci découle du principe de la légalité (art. 5 al. 1 Cst. (Constitution fédérale de la Confédération suisse du 18 avril 1999 ; RS 101) et 2 al. 2 CPP en relation avec les art. 319 al. 1 et 324 CPP; ATF 138 IV 86 consid. 4.2) et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w:t>
      </w:r>
    </w:p>
    <w:p>
      <w:r>
        <w:t>- 5 - condamnation apparaissent équivalentes, en particulier en présence d'une infraction grave (ATF 138 IV 86 consid. 4.1.2 ; ATF 143 IV 241 consid. 2.2.1).</w:t>
      </w:r>
    </w:p>
    <w:p>
      <w:r>
        <w:rPr>
          <w:b/>
        </w:rPr>
        <w:t>E. 2.2</w:t>
      </w:r>
    </w:p>
    <w:p>
      <w:r>
        <w:t>Se rend coupable de dommages à la propriété, au sens de l’art. 144 CP, celui qui aura endommagé, détruit ou mis hors d'usage une chose appartenant à autrui ou frappée d’un droit d’usage ou d’usufruit au bénéfice d’autrui. Selon la jurisprudence, l'auteur se rend coupable de dommages à la propriété dès qu'il cause un changement de l'état de la chose qui n'est pas immédiatement réversible sans frais ni effort et qui porte atteinte à un intérêt légitime, par exemple en apposant sur le pare- brise d'une voiture une affiche qui ne peut être que difficilement ôtée, en dégonflant les pneus d'une voiture, en vidant un extincteur qui doit être rechargé pour être de nouveau prêt à fonctionner (ATF 128 IV 250 consid.</w:t>
      </w:r>
    </w:p>
    <w:p>
      <w:r>
        <w:rPr>
          <w:b/>
        </w:rPr>
        <w:t>E. 2.3</w:t>
      </w:r>
    </w:p>
    <w:p>
      <w:r>
        <w:t>En l'espèce, conformément à la jurisprudence, (cf. TF 6B_539/2016 du 1er novembre 2017, consid. 2.2.1), le Procureur a, préalablement à la reddition de l'ordonnance de non-entrée en matière, demandé à H.________ de prendre position sur les reproches formulés par le recourant dans sa plainte. Dans son courrier du 6 janvier 2018, ce dernier a admis qu'il était propriétaire d'un étang, et que de l'eau s'en échappait, d'une part, et que l'eau coulait en contre-bas dans le champ du plaignant, d'autre part ; tout en se demandant si cette eau provenait de</w:t>
      </w:r>
    </w:p>
    <w:p>
      <w:r>
        <w:t>- 6 - son étang, il a déclaré faire "tout le nécessaire afin de régler le problème" et avoir toujours fait des travaux à son étang "afin qu'il ne coule plus". Au vu de ces déterminations et des photographies produites par le plaignant, qui montrent des champs et des fondations de bâtiments inondés, il n'est pas possible d'exclure que les éléments constitutifs objectifs de l'infraction de dommage à la propriété soient réalisés, en ce sens qu'il y ait une atteinte à la fonctionnalité ou à l'état du bien-fonds du plaignant, voire des immeubles qui y sont construits, en raison de fuites d'eau émanant d'un étang voisin dont H.________ est propriétaire. Il n'est pas non plus possible d'exclure que l'élément subjectif soit réalisé. En effet, le fait de ne prendre aucune mesure alors que de l'eau s'écoule sur le fonds d'autrui et qu'il serait possible de l'arrêter, est susceptible de réaliser l'hypothèse du dol éventuel, l'auteur acceptant la survenance du dommage. Pour ces motifs, il n'apparaît pas d’emblée que les conditions d’une poursuite pénale ne sont pas remplies. C'est donc en violation de l'art. 310 CPP que le Ministère public a rendu une ordonnance de non- entrée en matière.</w:t>
      </w:r>
    </w:p>
    <w:p>
      <w:r>
        <w:rPr>
          <w:b/>
        </w:rPr>
        <w:t>E. 3</w:t>
      </w:r>
    </w:p>
    <w:p>
      <w:r>
        <w:t>Il résulte de ce qui précède que le recours doit être admis, l'ordonnance du 11 janvier 2018 annulée et le dossier de la cause renvoyé au Ministère public du Nord vaudois pour qu’il ouvre formellement une instruction. Les frais de la procédure de recours, constitués en l'espèce du seul émolument d'arrêt, par 660 fr. (art. 422 al. 1 CPP et 20 al. 1 TFIP [Tarif des frais de procédure et indemnités en matière pénale du 28 septembre 2010; RSV 312.03.1]), seront laissés à la charge de l'Etat (art. 428 al. 4 CPP).</w:t>
      </w:r>
    </w:p>
    <w:p>
      <w:r>
        <w:t>- 7 - Par ces motifs, la Chambre des recours pénale prononce : I. Le recours est admis. II. L’ordonnance du 11 janvier 2018 est annulée. III. Le dossier de la cause est renvoyé au Ministère public de l'arrondissement du Nord vaudois pour qu’il procède dans le sens des considérants. IV. Les frais d’arrêt, par 660 fr. (six cent soixante francs), sont laissés à la charge de l'Etat. V. L'arrêt est exécutoire. Le président : La greffière : Du Le présent arrêt, dont la rédaction a été approuvée à huis clos, est notifié, par l'envoi d'une copie complète, à : - M. Y.________, - Ministère public central, et communiqué à : - M. H.________, - M. le Procureur de l'arrondissement du Nord vaudois,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