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PE17.025132 vom 9. September 2019</w:t>
      </w:r>
    </w:p>
    <w:p>
      <w:r>
        <w:t>VD Tribunal cantonal, 2019-09-09, FR</w:t>
      </w:r>
    </w:p>
    <w:p>
      <w:r>
        <w:rPr>
          <w:b/>
        </w:rPr>
        <w:t xml:space="preserve">Quelle: </w:t>
      </w:r>
      <w:r>
        <w:t>https://mcp.opencaselaw.ch/entscheid/vd_gerichte_PE17.025132</w:t>
      </w:r>
    </w:p>
    <w:p>
      <w:r>
        <w:t>FR: VD_GERICHTE PE17.025132 du 9 septembre 2019</w:t>
      </w:r>
    </w:p>
    <w:p>
      <w:r>
        <w:t>IT: VD_GERICHTE PE17.025132 del 9 settembre 2019</w:t>
      </w:r>
    </w:p>
    <w:p>
      <w:pPr>
        <w:pStyle w:val="Heading2"/>
      </w:pPr>
      <w:r>
        <w:t>Erwägungen</w:t>
      </w:r>
    </w:p>
    <w:p>
      <w:r>
        <w:rPr>
          <w:b/>
        </w:rPr>
        <w:t>E. 1</w:t>
      </w:r>
    </w:p>
    <w:p>
      <w:r>
        <w:t>E.________, ressortissante suisse, est née le [...] 1935 à [...], en [...]. Elle a été élevée par ses parents, avec ses deux sœurs. Elle a suivi toute sa scolarité, jusqu’au gymnase, en [...], puis y a travaillé dans le domaine commercial. En 1959-1960, elle est venue en Suisse pour apprendre le français. C’est durant ce séjour linguistique qu’elle a connu son mari. Le couple s’est marié en 1964. Il n’a pas eu d’enfant. L’époux de la prévenue est décédé en 2013. En Suisse, E.________ a travaillé comme secrétaire. Elle est désormais à la retraite. Elle perçoit une rente AVS d’un montant d’environ 2'400 fr. par mois, à laquelle s’ajoutent une rente LPP mensuelle de 450 fr. et une rente de veuve mensuelle d’environ 3'500 francs. Elle vit seule dans la maison dont elle est propriétaire à [...] et dont les coûts d’entretien sont d’environ 500 fr. par mois. Cette maison n’est pas hypothéquée. Les primes d’assurance-maladie de la prévenue s’élèvent à un peu plus de 1'000 fr. par mois et ses acomptes d’impôts à 2'500 fr. par mois. Elle n’a pas de dette et possède quelques dizaines de milliers de francs d’économies. Le casier judiciaire suisse et le fichier des mesures administratives en matière de circulation routière (ADMAS) de la prévenue sont vierges de toute inscription.</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w:t>
      </w:r>
    </w:p>
    <w:p>
      <w:r>
        <w:rPr>
          <w:b/>
        </w:rPr>
        <w:t>E. 3.1</w:t>
      </w:r>
    </w:p>
    <w:p>
      <w:r>
        <w:t>Aux débats d’appel, E.________ a réitéré sa réquisition tendant à la mise en œuvre d’une expertise accidentologique. Elle fait valoir que sa « version constante des faits » n'aurait jamais fait l'objet d'une « réelle analyse objective ».</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w:t>
      </w:r>
    </w:p>
    <w:p>
      <w:r>
        <w:t>- 12 - preuves sur des faits non pertinents, notoires, connus de l'autorité ou déjà suffisamment prouvés. Le magistrat peut ainsi refuser des preuves nouvelles, lorsqu'une administration anticipée de ces preuves démontre qu'elles ne seront pas de nature à modifier le résultat de celles déjà administrées (ATF 136 I 229 consid. 5.3).</w:t>
      </w:r>
    </w:p>
    <w:p>
      <w:r>
        <w:rPr>
          <w:b/>
        </w:rPr>
        <w:t>E. 3.3</w:t>
      </w:r>
    </w:p>
    <w:p>
      <w:r>
        <w:t>Le déroulement de l'accident proprement dit, soit que la prévenue a heurté une voiture arrêtée sur le bord droit de la chaussée, n'est pas litigieux. En réalité, l’appelante voudrait qu'un expert dise si sa version des faits antérieurs à l’accident – selon laquelle sa vision aurait été gênée par une voiture qui l'aurait dépassée, aurait roulé devant elle et finalement contourné l'obstacle trop tard pour qu'elle-même puisse l'éviter – est possible. En cours de procédure, E.________ a déposé un rapport d’expertise privée, dans lequel l'expert a en particulier exposé ce qui suit (P. 44, p. 13) : « (…) tous les faits et les calculs qui se sont déroulés (sic) avant la collision sont subjectifs. En effet, aucun élément concret ne peut être établi de manière avérée. Il faut de ce fait, admettre des paramètres qui permettront de déterminer si la version avancée par notre mandante est plausible ou physiquement impossible. Le dépassement et le rabattement d'un véhicule dépend d'une multitude de facteurs, dont les principaux sont : les vitesses des deux véhicules (dépassé et dépassant), la rapidité du rabattement, les distances latérales sur les voies de circulation et de dépassement, le moment de dépassement, etc. Cette grande diversité des paramètres engendre une multitude de versions possibles ». Au final, l'expert arrive à la conclusion que – selon les paramètres choisis – la version de la prévenue est possible. La conclusion de cette expertise peut être acceptée sans qu'il soit nécessaire d'ordonner une expertise judiciaire contradictoire, dès lors qu'un expert nommé par le tribunal serait confronté au même problème du choix des paramètres et</w:t>
      </w:r>
    </w:p>
    <w:p>
      <w:r>
        <w:t>- 13 - arriverait sans doute au même résultat. En outre, comme on le verra plus loin, la version des faits de la prévenue ne l'exonère pas de toute faute. La mesure d’instruction requise par l’appelante, inutile, doit donc être rejetée.</w:t>
      </w:r>
    </w:p>
    <w:p>
      <w:r>
        <w:rPr>
          <w:b/>
        </w:rPr>
        <w:t>E. 4</w:t>
      </w:r>
    </w:p>
    <w:p>
      <w:r>
        <w:t>Invoquant une constatation inexacte des faits et une violation du principe in dubio pro reo, l’appelante reproche au premier juge d’avoir écarté sa version des faits, selon laquelle un véhicule la précédant aurait masqué sa visibilité le jour de l’accident.</w:t>
      </w:r>
    </w:p>
    <w:p>
      <w:r>
        <w:rPr>
          <w:b/>
        </w:rPr>
        <w:t>E. 4.1</w:t>
      </w:r>
    </w:p>
    <w:p>
      <w:r>
        <w:t>et 4.5). Les démarches doivent apparaître nécessaires et adéquates pour la défense du point de vue de la partie plaignante raisonnable (TF 6B_1286/2016 du 15 août 2017 consid. 2.1 ; TF 6B_495/2014 du 6 octobre 2014 consid. 2.1 et les réf. citées). Selon la jurisprudence, l'indemnité doit correspondre au tarif usuel du barreau applicable dans le canton où la procédure se déroule (TF 6B_111/2017 du 17 octobre 2017 consid. 4.1). A teneur de l'art. 26a al. 3, 1re phrase, TFIP (Tarif des frais de procédure et indemnités en matière pénale du 28 septembre 2010 ; BLV 312.03.1), le tarif horaire déterminant (hors TVA) est de 250 fr. au minimum et de 350 fr. au maximum pour l'activité déployée par un avocat.</w:t>
      </w:r>
    </w:p>
    <w:p>
      <w:r>
        <w:rPr>
          <w:b/>
        </w:rPr>
        <w:t>E. 4.2</w:t>
      </w:r>
    </w:p>
    <w:p>
      <w:r>
        <w:t>Le Tribunal de police a écarté la version des faits de la prévenue aux motifs que lors de sa première audition, alors qu’elle avait des souvenirs précis de sa journée, elle n’avait pas évoqué de véhicule qui l’aurait dépassée, se serait rabattu devant elle puis aurait contourné l’obstacle à la dernière minute ; en outre, le témoin N.________ avait vu l’accident dans son rétroviseur et il n’avait pas mentionné la présence d’une autre voiture devant celle de la prévenue ; enfin, la manœuvre décrite paraissait improbable vu la courte distance disponible (jugement, pp. 16-17). A cela, l’appelante oppose que, lors de sa première audition, elle aurait été choquée et blessée, qu’elle aurait pourtant déjà mentionné à cette occasion la possibilité qu’une voiture l’ait précédée et lui ait obstrué la vue, qu’il serait normal que N.________ n’ait pas spontanément</w:t>
      </w:r>
    </w:p>
    <w:p>
      <w:r>
        <w:t>- 15 - évoqué l’existence d’un véhicule non concerné par l’accident, qu’il n’aurait en outre pas été interrogé à ce sujet, qu’au demeurant, les déclarations de cette personne appelée à donner des renseignements seraient inexploitables, dès lors qu’elle n’aurait pas eu la possibilité de l’interroger et, enfin, que les autres usagers de la route n’auraient pu éviter la voiture du plaignant que parce qu’elle leur aurait été signalée par les phares des véhicules arrivant en sens inverse ou par leur passager. Les remarques de l’appelante concernant sa première audition et le contenu des déclarations de N.________ sont exactes. Il n’empêche que le principe in dubio pro reo n’implique pas de croire sur parole n’importe quelle explication exculpatoire, pourvu qu’elle soit « possible ». L’accusation doit établir la faute : tel est le cas a priori en l’espèce, dès lors qu’il n’est pas contesté que la prévenue a heurté le véhicule du plaignant arrêté sur le bord droit de la chaussée, parce qu’elle l’a vu trop tard. Si la prévenue soutient qu’un élément externe exclut toute faute de sa part, elle doit à tout le moins le rendre plausible. Or, en l’occurrence, rien n’étaye son allégation. Dans ce contexte, l’exploitation du procès- verbal d’audition de N.________, qui n’a pas pour objectif d’établir l’infraction mais de déceler un éventuel élément étayant la version de la prévenue, n’est pas problématique. En outre, E.________ n’a jamais demandé, en cours de procédure, à être confrontée à N.________, si bien qu’elle n’est en tout état de cause pas fondée à requérir le retranchement des déclarations de ce dernier au stade de l’appel. Enfin, paradoxalement, l’appelante se prévaut des autres témoignages, recueillis dans les mêmes circonstances. A ce sujet, il est inexact d’affirmer que tous les autres usagers n’auraient réussi à éviter l’obstacle que grâce à une aide extérieure, le témoin T.________ n’en évoquant aucune (cf. PV aud. 2). Ainsi, il n’y a aucune constatation erronée des faits ou violation du principe de la présomption d’innocence à ne pas retenir les allégations de l’appelante. Au surplus, comme on le verra sous chiffre 6 infra, sa version n’exclut pas une faute de sa part.</w:t>
      </w:r>
    </w:p>
    <w:p>
      <w:r>
        <w:rPr>
          <w:b/>
        </w:rPr>
        <w:t>E. 5</w:t>
      </w:r>
    </w:p>
    <w:p>
      <w:r>
        <w:t>- 16 -</w:t>
      </w:r>
    </w:p>
    <w:p>
      <w:r>
        <w:rPr>
          <w:b/>
        </w:rPr>
        <w:t>E. 5.1</w:t>
      </w:r>
    </w:p>
    <w:p>
      <w:r>
        <w:t>L'appelante invoque une violation de son droit d'être entendue et de l'art. 343 CPP par le Tribunal de première instance, auquel elle reproche de ne pas avoir ordonné l'expertise qu'elle requiert.</w:t>
      </w:r>
    </w:p>
    <w:p>
      <w:r>
        <w:rPr>
          <w:b/>
        </w:rPr>
        <w:t>E. 5.2</w:t>
      </w:r>
    </w:p>
    <w:p>
      <w:r>
        <w:t>Le tribunal procède à l'administration de nouvelles preuves ou complète les preuves administrées de manière insuffisante (art. 343 al. 1 CPP). 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 ATF 132 II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 citées).</w:t>
      </w:r>
    </w:p>
    <w:p>
      <w:r>
        <w:rPr>
          <w:b/>
        </w:rPr>
        <w:t>E. 5.3</w:t>
      </w:r>
    </w:p>
    <w:p>
      <w:r>
        <w:t>Comme déjà exposé sous chiffre 3 ci-dessus, l’expertise requise n'est pas utile pour juger de la cause. Refuser sa mise en œuvre ne viole donc pas le droit d'être entendu de la prévenue.</w:t>
      </w:r>
    </w:p>
    <w:p>
      <w:r>
        <w:rPr>
          <w:b/>
        </w:rPr>
        <w:t>E. 6.1</w:t>
      </w:r>
    </w:p>
    <w:p>
      <w:r>
        <w:t>Invoquant une violation de l'art. 125 CP (Code pénal suisse du 21 décembre 1937 ; RS 311.0), l'appelante conteste toute négligence fautive. Elle soutient d'abord que sa vision de la route aurait été gênée par le véhicule devant elle, jusqu'à ce qu'il soit trop tard pour qu'elle puisse éviter l'obstacle. Ensuite, le comportement aberrant du plaignant consistant à circuler avec un véhicule défectueux, à l'immobiliser sur la</w:t>
      </w:r>
    </w:p>
    <w:p>
      <w:r>
        <w:t>- 17 - chaussée, feux éteints, sans triangle de panne, de nuit, puis à se placer devant celui-ci, serait la cause de l'accident, reléguant à l'arrière-plan une éventuelle faute de sa part.</w:t>
      </w:r>
    </w:p>
    <w:p>
      <w:r>
        <w:rPr>
          <w:b/>
        </w:rPr>
        <w:t>E. 6.2.1</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D'après l'art. 12 al. 3 CP, agit par négligence quiconque, par une imprévoyance coupable, commet un crime ou un délit sans se rendre compte ou sans tenir compte des conséquences de son acte. L'imprévoyance est coupable quand l'auteur n'a pas usé des précautions commandées par les circonstances et par sa situation personnelle. 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(ATF 138 IV 57 consid. 4.1.3 ; ATF 133 IV 158 consid. 6.1).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w:t>
      </w:r>
    </w:p>
    <w:p>
      <w:r>
        <w:t>- 18 -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consid. 4.4.2 ; TF 6B_1371/2017 du 22 mai 2018 consid. 1.4.2).</w:t>
      </w:r>
    </w:p>
    <w:p>
      <w:r>
        <w:rPr>
          <w:b/>
        </w:rPr>
        <w:t>E. 6.2.2</w:t>
      </w:r>
    </w:p>
    <w:p>
      <w:r>
        <w:t>Le conducteur devra rester constamment maître de son véhicule de façon à pouvoir se conformer aux devoirs de la prudence (art. 31 al. 1 LCR [Loi fédérale sur la circulation routière du 19 décembre 1958 ; RS 741.01]). Le conducteur vouera son attention à la route et à la circulation (art. 3 al. 1, 1re phrase, OCR [Ordonnance sur les règles de la circulation routière du 13 novembre 1962 ; RS 741.11]).</w:t>
      </w:r>
    </w:p>
    <w:p>
      <w:r>
        <w:rPr>
          <w:b/>
        </w:rPr>
        <w:t>E. 6.3</w:t>
      </w:r>
    </w:p>
    <w:p>
      <w:r>
        <w:t>On a vu plus haut qu'il n’existe aucun élément étayant les allégations de la prévenue. Il y a donc bien eu une perte de maîtrise de sa part, les autres usagers ayant réussi à éviter l'obstacle, et pas nécessairement avec une aide extérieure. La faute concurrente du plaignant n'interrompt pas le lien de causalité entre la faute de la prévenue et le dommage. Il peut en effet se produire des situations où il n'est pas possible d'éviter une panne et une immobilisation sur la chaussée. Il n’empêche que les usagers de la route doivent pouvoir éviter tout obstacle présent devant eux sur la distance nécessaire pour s'arrêter. Le choc avec un véhicule en mouvement ne</w:t>
      </w:r>
    </w:p>
    <w:p>
      <w:r>
        <w:t>- 19 - peut être imputé principalement à celui qui est simplement immobilisé depuis un moment sur la chaussée. Au demeurant, même à suivre les allégations infondées de l’appelante, il faudrait admettre qu'elle circulait, soit à une vitesse inadaptée aux conditions de la route compte tenu de l'éclairage dont elle disposait, soit à une distance insuffisante de la voiture qui la précédait, qui a réussi, elle, à éviter l'obstacle. Sa version n’exclurait donc pas une faute de la circulation décisive dans la survenance de l’accident. C'est dès lors à juste titre qu’E.________ a été reconnue coupable d'une négligence fautive en lien de causalité avec les lésions corporelles graves subies par le plaignant. Sa condamnation doit donc être confirmée.</w:t>
      </w:r>
    </w:p>
    <w:p>
      <w:r>
        <w:rPr>
          <w:b/>
        </w:rPr>
        <w:t>E. 7</w:t>
      </w:r>
    </w:p>
    <w:p>
      <w:r>
        <w:t>L’appelante, qui a conclu à son acquittement, ne conteste pas la peine infligée en tant que telle. Examinant cette question d’office, la Cour d’appel considère que la peine pécuniaire de vingt jours-amende à 50 fr. le jour, avec sursis durant deux ans, ainsi que l’amende de 500 fr. prononcée à titre de sanction immédiate ont été fixées en tenant compte des éléments à charge et à décharge pertinents et conformément à la culpabilité d’E.________ (cf. art. 47 CP). Adéquate, la peine pécuniaire et la sanction immédiate, qui se justifie au vu du refus de la prévenue de reconnaître toute responsabilité dans l’accident, doivent être confirmées.</w:t>
      </w:r>
    </w:p>
    <w:p>
      <w:r>
        <w:rPr>
          <w:b/>
        </w:rPr>
        <w:t>E. 8</w:t>
      </w:r>
    </w:p>
    <w:p>
      <w:r>
        <w:t>L'appelante conteste l'indemnité allouée au plaignant en application de l'art. 433 CPP, d'abord parce qu'elle conclut à son acquittement, mais en tout état de cause parce qu'elle serait fondée sur une liste d'opérations produite en audience qui comporterait des opérations injustifiées.</w:t>
      </w:r>
    </w:p>
    <w:p>
      <w:r>
        <w:rPr>
          <w:b/>
        </w:rPr>
        <w:t>E. 8.1</w:t>
      </w:r>
    </w:p>
    <w:p>
      <w:r>
        <w:t>Selon l’art. 433 CPP, la partie plaignante qui obtient gain de cause peut demander au prévenu une juste indemnité pour les dépenses</w:t>
      </w:r>
    </w:p>
    <w:p>
      <w:r>
        <w:t>- 20 - obligatoires occasionnées par la procédure (al. 1 let. a). La partie plaignante adresse ses prétentions à l’autorité pénale ; elle doit les chiffrer et les justifier (al. 2). La juste indemnité, notion qui laisse un large pouvoir d’appréciation au juge, couvre les dépenses et les frais nécessaires pour faire valoir le point de vue de la partie plaignante dans la procédure pénale. Il s'agit en premier lieu des frais d'avocat (ATF 139 IV 102 consid.</w:t>
      </w:r>
    </w:p>
    <w:p>
      <w:r>
        <w:rPr>
          <w:b/>
        </w:rPr>
        <w:t>E. 8.2</w:t>
      </w:r>
    </w:p>
    <w:p>
      <w:r>
        <w:t>La condamnation de l’appelante étant confirmée, l'allocation d'une indemnité à la partie plaignante pour les dépenses obligatoires occasionnées par la procédure est justifiée sur le principe. Aux débats de première instance, le conseil d’I.________ a produit une note d’honoraires de 7'785 fr. 75, correspondant à 20,06 heures d’activité, hors audience de jugement, facturées au tarif horaire de 350 fr., par 7'021 fr., à des débours, par 208 fr. 10, et à la TVA, par 556 fr. 65. De cette note, le premier juge a retranché une lettre adressée à la [...] Assurance et un courriel adressé à la Caisse AVS, soit 0,4 heure qui ne concernait pas l’affaire pénale (jugement, p. 22), et y a ajouté le temps dévolu à l’audience du 9 septembre 2019.</w:t>
      </w:r>
    </w:p>
    <w:p>
      <w:r>
        <w:t>- 21 - Parmi les griefs invoqués par l’appelante, il est vrai que la liste des opérations comporte, à la date du 19 avril 2019, un poste « [v]acation et assistance à audience de jugement » pour une durée de 2 heures alors qu’aucune audience n’a en réalité été tenue ce jour-là. Il ressort du dossier que l’audience de jugement avait initialement été fixée le 15 avril 2019, avant d’être renvoyée (P. 42). Il convient ainsi de retrancher ce poste de la liste produite. Pour le reste, l’appelante fonde essentiellement ses arguments sur des jurisprudences rendues en matière d’assistance judiciaire, dans le cadre de laquelle les règles relatives aux opérations indemnisables sont plus strictes. Tout bien considéré, il n’y a donc pas lieu de réduire davantage la note d’honoraires présentée par Me Mathey, ce qui se justifie d’autant plus que la prévenue revendique elle-même une indemnité fondée sur l’art. 429 CPP de 9'074 fr. 05 pour ses seuls frais d’avocat, soit un montant plus élevé que celui réclamé par la partie plaignante, et qu’elle a provoqué ces dépenses en déposant plainte contre le lésé. Le tarif horaire de 350 fr. demandé et appliqué par le Tribunal de police, qui entre dans la fourchette prévue par l’art. 26a TFIP, n’est pas critiqué et sera donc maintenu. Ainsi, le moyen de l’appelante est partiellement admis et l’indemnité fondée sur l’art. 433 CPP allouée à I.________ sera réduite à 8'140 fr. 05, ce qui correspond à 21 heures d’activité au tarif horaire de 350 fr., par 7'350 fr., des débours, par 208 fr. 10, et la TVA, par 581 fr. 95.</w:t>
      </w:r>
    </w:p>
    <w:p>
      <w:r>
        <w:rPr>
          <w:b/>
        </w:rPr>
        <w:t>E. 9</w:t>
      </w:r>
    </w:p>
    <w:p>
      <w:r>
        <w:t>Les conclusions de l'appel concernant les frais de première instance et les indemnités au sens de l’art. 429 CPP, accessoires des moyens tendant à l'acquittement, deviennent sans objet.</w:t>
      </w:r>
    </w:p>
    <w:p>
      <w:r>
        <w:rPr>
          <w:b/>
        </w:rPr>
        <w:t>E. 10</w:t>
      </w:r>
    </w:p>
    <w:p>
      <w:r>
        <w:t>En définitive, l’appel doit être très partiellement admis et le jugement attaqué réformé dans le sens des considérants. Vu l’issue de la cause, les frais de la procédure d’appel, constitués en l’occurrence de l’émolument d’audience et de jugement, par 1’940 fr. (art. 21 al. 1 et 2 TFIP), seront intégralement mis à la charge</w:t>
      </w:r>
    </w:p>
    <w:p>
      <w:r>
        <w:t>- 22 - d’E.________, qui succombe presque entièrement (art. 428 al. 1, 1re phrase, CPP). Enfin, la condamnation de l’appelante étant confirmée, il n’y a pas matière à l’allocation d’une indemnité fondée sur l’art. 429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