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PE17.024925 vom 12. Dezember 2019</w:t>
      </w:r>
    </w:p>
    <w:p>
      <w:r>
        <w:t>VD Tribunal cantonal, 2019-12-12, FR</w:t>
      </w:r>
    </w:p>
    <w:p>
      <w:r>
        <w:rPr>
          <w:b/>
        </w:rPr>
        <w:t xml:space="preserve">Quelle: </w:t>
      </w:r>
      <w:r>
        <w:t>https://mcp.opencaselaw.ch/entscheid/vd_gerichte_PE17.024925</w:t>
      </w:r>
    </w:p>
    <w:p>
      <w:r>
        <w:t>FR: VD_GERICHTE PE17.024925 du 12 décembre 2019</w:t>
      </w:r>
    </w:p>
    <w:p>
      <w:r>
        <w:t>IT: VD_GERICHTE PE17.024925 del 12 dicembre 2019</w:t>
      </w:r>
    </w:p>
    <w:p>
      <w:pPr>
        <w:pStyle w:val="Heading2"/>
      </w:pPr>
      <w:r>
        <w:t>Erwägungen</w:t>
      </w:r>
    </w:p>
    <w:p>
      <w:r>
        <w:rPr>
          <w:b/>
        </w:rPr>
        <w:t>E. 3.1</w:t>
      </w:r>
    </w:p>
    <w:p>
      <w:r>
        <w:t>La recourante fait valoir une violation de son droit d'être entendu en ce qui concerne le rejet de ses réquisitions de preuves. Elle considère que B.________ aurait dû être entendu en tant que témoin, avec obligation de déposer et de dire la vérité, et non en tant que PADR, en</w:t>
      </w:r>
    </w:p>
    <w:p>
      <w:r>
        <w:t>- 6 - pouvant faire usage de son droit au silence comme il l'avait fait. De même, afin d'obtenir de plus amples renseignements sur les éléments du document « Proposition commerciale », sur le fonctionnement de la société avant le décès de son administrateur et sur certains points que les inspecteurs n'ont pas pu résoudre, elle soutient que B.F.________ et quatre autres de ses employés (U.________, H.________, P.________ et D.________) auraient également dû être entendus en qualité de témoins.</w:t>
      </w:r>
    </w:p>
    <w:p>
      <w:r>
        <w:rPr>
          <w:b/>
        </w:rPr>
        <w:t>E. 3.2.1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140 I 285 consid. 6.3.1). Le ministère public peut écarter une réquisition de preuves si celle-ci porte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(ATF 141 I 60 consid. 3.3 ; ATF 136 I 229 consid. 5.3 ; TF 6B_598/2013 du 5 septembre 2013 consid. 3.1 ; Bénédict, Commentaire romand, Code de procédure pénale suisse, 2e éd., Bâle 2019, n. 23 ad art. 139 CPP).</w:t>
      </w:r>
    </w:p>
    <w:p>
      <w:r>
        <w:t>- 7 -</w:t>
      </w:r>
    </w:p>
    <w:p>
      <w:r>
        <w:rPr>
          <w:b/>
        </w:rPr>
        <w:t>E. 3.2.2</w:t>
      </w:r>
    </w:p>
    <w:p>
      <w:r>
        <w:t>Selon la loi, la PADR occupe une position qui se situe entre celle du prévenu et du témoin. Contrairement au prévenu, la PADR n'est soupçonnée d'aucune infraction (cf. art. 111 al. 1 CPP) ; une éventuelle implication n'est toutefois pas complètement exclue, à l'inverse du témoin (art. 162 CPP). Une personne est auditionnée en qualité de PADR si une participation à l'infraction ne peut être exclue, si le fait de s'être constituée partie plaignante laisse supposer un intérêt personnel à l'issue de la procédure ou lorsqu'il existe des doutes sur la capacité à déposer de la personne à auditionner (cf. art. 178 CPP). Si la police procède à des auditions, elle peut en principe uniquement auditionner les prévenus et les PADR (ATF 144 IV 28 consid. 1.3.1 et 1.3.2, JdT 2018 IV 139).</w:t>
      </w:r>
    </w:p>
    <w:p>
      <w:r>
        <w:rPr>
          <w:b/>
        </w:rPr>
        <w:t>E. 3.3.1</w:t>
      </w:r>
    </w:p>
    <w:p>
      <w:r>
        <w:t>En l'espèce, dans sa plainte du 5 décembre 2017 (p. 2), X.________SA a indiqué que les responsables des stocks, B.________ et T.________, avaient « pu reconstituer les prélèvements effectués indûment par Z.________ » et que « leur travail était à l'heure actuelle toujours en cours ». Cela explique pourquoi la police a convoqué ces deux personnes, après avoir recueilli les déclarations du prévenu. Il est vraisemblable que la police a auditionné B.________ en tant que PADR, puisque, en tant que responsable des stocks, son implication dans les faits reprochés n'était pas encore suffisamment élucidée à ce moment-là et que la police ne peut en principe pas mener une procédure formelle d'audition de témoin. Bien qu'ayant refusé de répondre aux questions du Procureur, B.________ a tout de même accepté de répondre à quelques questions des avocats de la plaignante X.________SA et du prévenu (PV aud. 2, pp. 4-6). Il a confirmé que c'était lui qui avait rédigé le document « Proposition commerciale » – qui délimite l'objet de la plainte – que la plaignante avait produit au cours de l'audition du prévenu du 7 novembre 2018. La police a ensuite auditionné T.________, qui a confirmé que son collègue B.________ lui avait soumis le document « Proposition commerciale ».</w:t>
      </w:r>
    </w:p>
    <w:p>
      <w:r>
        <w:t>- 8 - La recourante fait valoir que B.________, B.F.________ et quatre autres employés de la société devraient être entendus en qualité de témoins. Or auditionner B.________ une seconde fois, mais en tant que témoin, ne changerait rien, puisque celui-ci a déjà montré où se plaçait sa loyauté, à savoir en faveur de son employeur (PV aud. 2, R. 20 in fine : « Je suis là pour la bonne marche de l'entreprise, cela fait 28 ans que je suis dans l'entreprise, c'est ma deuxième maison »), et pourrait de toute manière se prévaloir de l'art. 169 CPP pour refuser de témoigner. Il en va de même pour les quatre autres employés qui œuvraient au sein de l'entreprise au moment des faits litigieux, puisque ceux-ci pourraient craindre la réaction de leur employeur, respectivement celle de B.F.________ s'ils témoignaient contre lui. Enfin, comme exposé par le Procureur, B.F.________ ne travaillait pas dans l'entreprise lorsque le prévenu en était le directeur, de sorte que son audition n'apportera rien de déterminant. L'enquête effectuée par la police étant ainsi complète, c'est à juste titre que le Ministère public n'a pas donné suite aux réquisitions de preuves de la plaignante X.________SA.</w:t>
      </w:r>
    </w:p>
    <w:p>
      <w:r>
        <w:rPr>
          <w:b/>
        </w:rPr>
        <w:t>E. 3.3.2</w:t>
      </w:r>
    </w:p>
    <w:p>
      <w:r>
        <w:t>Par ailleurs, l'appréciation opérée par l'autorité intimée sur le fond est adéquate. En particulier, on ne peut que constater que les versions des parties sont diamétralement opposées, que le responsable des stocks T.________ a démenti les accusations portées contre le prévenu, notamment en indiquant que l'ancien patron autorisait ses employés à venir travailler le soir ou le week-end et à stocker du matériel dans l'entreprise et que du matériel avait été perdu au fil du temps ou même laissé dans l'enceinte de l'entreprise au départ du prévenu (mallette à outils), qu'aucun objet relatif aux deux plaintes n'a été retrouvé au domicile du prévenu et de son amie ou dans la maison qu'il est en train de construire et que la recourante n'a produit aucune preuve matérielle à l'appui de ses arguments, pas même les pièces comptables qu'elle s'est réservée le droit de déposer (P. 17, p. 2).</w:t>
      </w:r>
    </w:p>
    <w:p>
      <w:r>
        <w:t>- 9 - Dès lors que les chances d'acquittement sont nettement plus élevées que celles d'une condamnation du prévenu pour abus de confiance et vol, la décision du Ministère public de classer la procédure était justifiée.</w:t>
      </w:r>
    </w:p>
    <w:p>
      <w:r>
        <w:rPr>
          <w:b/>
        </w:rPr>
        <w:t>E. 4</w:t>
      </w:r>
    </w:p>
    <w:p>
      <w:r>
        <w:t>Il résulte de ce qui précède que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30 août 2019 est confirmée. III. Les frais d'arrêt, par 880 fr. (huit cent huitante francs), sont mis à la charge de X.________SA. IV. L’arrêt est exécutoire. Le président : La greffière :</w:t>
      </w:r>
    </w:p>
    <w:p>
      <w:r>
        <w:t>- 10 - Du Le présent arrêt, dont la rédaction a été approuvée à huis clos, est notifié, par l'envoi d'une copie complète, à : - Me Robin Chappaz, avocat (pour X.________SA), - Mme L.________, - Me Michel de Palma, avocat (pour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