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PE17.024876 vom 22. Oktober 2018</w:t>
      </w:r>
    </w:p>
    <w:p>
      <w:r>
        <w:t>VD Tribunal cantonal, 2018-10-22, FR</w:t>
      </w:r>
    </w:p>
    <w:p>
      <w:r>
        <w:rPr>
          <w:b/>
        </w:rPr>
        <w:t xml:space="preserve">Quelle: </w:t>
      </w:r>
      <w:r>
        <w:t>https://mcp.opencaselaw.ch/entscheid/vd_gerichte_PE17.024876</w:t>
      </w:r>
    </w:p>
    <w:p>
      <w:r>
        <w:t>FR: VD_GERICHTE PE17.024876 du 22 octobre 2018</w:t>
      </w:r>
    </w:p>
    <w:p>
      <w:r>
        <w:t>IT: VD_GERICHTE PE17.024876 del 22 ottobre 2018</w:t>
      </w:r>
    </w:p>
    <w:p>
      <w:pPr>
        <w:pStyle w:val="Heading2"/>
      </w:pPr>
      <w:r>
        <w:t>Erwägungen</w:t>
      </w:r>
    </w:p>
    <w:p>
      <w:r>
        <w:rPr>
          <w:b/>
        </w:rPr>
        <w:t>E. 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 Interjeté dans le délai légal auprès de l’autorité compétente par la partie plaignante qui a qualité pour recourir (art. 382 al. 1 CPP), le recours est recevable.</w:t>
      </w:r>
    </w:p>
    <w:p>
      <w:r>
        <w:rPr>
          <w:b/>
        </w:rPr>
        <w:t>E. 2</w:t>
      </w:r>
    </w:p>
    <w:p>
      <w:r>
        <w:t>Dans un premier moyen, la recourante soutient que l'escroquerie serait réalisée au motif que des fenêtres et portes auraient été simplement repeintes au lieu d'être changées, alors que les coûts facturés seraient ceux d'un tel changement. De plus, les plans ne seraient pas conformes. Selon elle, tout ce flou aurait été entretenu volontairement par les diverses raisons sociales de F.________.</w:t>
      </w:r>
    </w:p>
    <w:p>
      <w:r>
        <w:rPr>
          <w:b/>
        </w:rPr>
        <w:t>E. 2.1</w:t>
      </w:r>
    </w:p>
    <w:p>
      <w:r>
        <w:t>Aux termes de l'art. 146 al. 1 CP (Code pénal suisse du 21 décembre 1937 ; RS 311.0), se rend coupable d'escroquerie celui qui, dans le dessein de se procurer ou de procurer à un tiers un enrichissement illégitime, a astucieusement induit en erreur une personne par des affirmations fallacieuses ou par la dissimulation de faits vrais, ou l'a</w:t>
      </w:r>
    </w:p>
    <w:p>
      <w:r>
        <w:t>- 4 - astucieusement confortée dans son erreur et a de la sorte déterminé la victime à des actes préjudiciables à ses intérêts pécuniaires ou à ceux d'un tiers. Par tromperie, il faut entendre tout comportement destiné à faire naître chez autrui une représentation erronée des faits, qui divergent de la réalité (ATF 140 IV 11 consid. 2.3.2 ; ATF 135 IV 76 consid. 5.1). La tromperie peut être réalisée non seulement par l'affirmation d'un fait faux, mais également par la dissimulation (par commission ou omission improprement dite) d'un fait vrai (ATF 140 IV 206 consid. 6.3.1.2 ; ATF 140 IV 11 consid. 2.3.2). La tromperie peut consister en comportement explicite ou être réalisée par actes concluants (ATF 140 IV 11 consid. 2.3.2 ; ATF 127 IV 163 consid. 3b). Une simple tromperie ne suffit toutefois pas. Encore faut-il qu'elle puisse être qualifiée d'astucieuse. Il y a astuce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Tel est notamment le cas si l'auteur conclut un contrat en ayant d'emblée l'intention de ne pas fournir sa prestation alors que son intention n'était pas décelable (ATF 142 IV 153 consid. 2.2.2 ;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w:t>
      </w:r>
    </w:p>
    <w:p>
      <w:r>
        <w:t>- 5 - L'astuce n'est en revanche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ATF 135 IV 76 consid. 5.2).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w:t>
      </w:r>
    </w:p>
    <w:p>
      <w:r>
        <w:rPr>
          <w:b/>
        </w:rPr>
        <w:t>E. 2.2</w:t>
      </w:r>
    </w:p>
    <w:p>
      <w:r>
        <w:t>En l'espèce, s'il apparaît que l'intimé F.________ a mal travaillé et a manqué de rigueur et de suivi et quand bien même l'administrateur de la recourante était malade à l'époque des faits, les éléments constitutifs de l'infraction d'escroquerie ne sont toutefois pas réalisés. En effet, il appartenait à R.________, en sa qualité d'administrateur de la recourante, de se renseigner d'abord sur ses partenaires en affaires, puis sur le suivi du chantier. Sa maladie ne saurait à elle seule impliquer la réalisation d'un comportement astucieux visant à surfacturer des prestations. Comme l'a relevé la procureure, et contrairement à ce qui semble ressortir du recours, la recourante a bien signé le contrat d'entreprise, dont les plans d'architecte sont partie intégrante; elle a également signé le plan du 25 mars 2014 qui comporte les fenêtres telles qu'elles ont été effectivement installées (P. 5/29 et 5/30). Enfin, elle a exprimé son accord s'agissant du format des fenêtres installées (P. 5/52). Par conséquent, on ne peut suivre la</w:t>
      </w:r>
    </w:p>
    <w:p>
      <w:r>
        <w:t>- 6 - recourante lorsqu'elle soutient que les modifications du format des fenêtres auraient été apportées en cours de chantier à son insu. En tout état de cause, le fait que certains éléments aient dû être adaptés en cours de chantier sans avoir été soumis à la recourante ne suffit pas pour admettre une escroquerie au sens de l'art. 146 CP.</w:t>
      </w:r>
    </w:p>
    <w:p>
      <w:r>
        <w:rPr>
          <w:b/>
        </w:rPr>
        <w:t>E. 3</w:t>
      </w:r>
    </w:p>
    <w:p>
      <w:r>
        <w:t>Dans un deuxième moyen, la recourante voit une tentative de contrainte dans le fait que F.________ lui a envoyé un commandement de payer pour le paiement du solde de ses prestations. Elle soutient qu'il ne s'agirait pas seulement de l'envoi de cet acte, mais aussi de la mise en relief qu'il y avait lieu de faire avec divers messages de menaces et de pressions, soit de laisser tomber le chantier par exemple, qui permettrait de retenir l'infraction.</w:t>
      </w:r>
    </w:p>
    <w:p>
      <w:r>
        <w:rPr>
          <w:b/>
        </w:rPr>
        <w:t>E. 3.1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(TF 6B_153/2017 du 28 novembre 2017 consid. 3.1 ; ATF 101 IV 42 consid. 3a), la menace est un moyen de pression psychologique consistant à annoncer un dommage futur dont la réalisation est présentée comme dépendante de la volonté de l'auteur, sans toutefois qu'il soit nécessaire que cette dépendance soit effective (TF 6B_153/2017 du 28 novembre 2017 consid. 3.1 ; ATF 117 IV 445 consid. 2b ; ATF 106 IV 125 consid. 2a) ni que l'auteur ait réellement la volonté de réaliser sa menace (TF 6B_153/2017 du 28 novembre 2017 consid. 3.1 ;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(TF 6B_153/2017 du 28 novembre 2017 consid. 3.1 ; ATF 122 IV 322 consid. 1a ; ATF 120 IV 17 consid. 2a/aa). Il</w:t>
      </w:r>
    </w:p>
    <w:p>
      <w:r>
        <w:t>- 7 -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TF 6B_77/2017 du 16 janvier 2018 consid. 5.1). Pour une personne de sensibilité moyenne, faire par exemple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(TF 6B_153/2017 du 28 novembre 2017 consid. 3.1 et les arrêts cités).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(TF 6B_153/2017 du 28 novembre 2017 consid. 3.1 ; ATF 141 IV 437 consid. 3.2.1 ; ATF 137 IV 326 consid. 3.3.1). Lorsque la victime ne se laisse pas intimider et n'adopte pas le comportement voulu par l'auteur, ce dernier est punissable de tentative de contrainte (art. 22 al. 1 CP ; TF 6B_153/2017 du 28 novembre 2017 consid. 3.1 ; ATF 129 IV 262 consid. 2.7 ; ATF 106 IV 125 consid. 2b). Pour qu'il y ait tentative de contrainte, il faut que l'auteur ait agi avec</w:t>
      </w:r>
    </w:p>
    <w:p>
      <w:r>
        <w:t>- 8 - conscience et volonté, soit au moins qu'il ait accepté l'éventualité que le procédé illicite employé entrave le destinataire dans sa liberté de décision (TF 6B_153/2017 du 28 novembre 2017 consid. 3.1 ; ATF 120 IV 17 consid. 2c).</w:t>
      </w:r>
    </w:p>
    <w:p>
      <w:r>
        <w:rPr>
          <w:b/>
        </w:rPr>
        <w:t>E. 3.2</w:t>
      </w:r>
    </w:p>
    <w:p>
      <w:r>
        <w:t>En l'espèce, la procureure a retenu que la recourante ne s'était pas acquittée entièrement de sa contre-prestation prévue par le contrat d’entreprise, invoquant à ce titre les droits du maître en cas d'exécution défectueuse de l'ouvrage. En cherchant à recouvrer la créance contractuelle contre la recourante, l'intimé F.________ n’avait pas agi de manière illicite et était fondé, de son point de vue, à réclamer les montants en question. Cette appréciation ne prête pas le flanc à la critique et doit être confirmée. En effet, les parties avaient convenu d'un montant forfaitaire de 486'000 fr. (soit 450'000 fr. + la TVA) pour la réalisation du chantier (P. 5/20 et 5/21). Se prévalant des droits du maître en cas d'exécution défectueuse de l'ouvrage, la recourante admet ne pas avoir payé l'entier de ce montant et qu'un solde de 12'000 fr. reste impayé. Dans ces circonstances, tant le commandement de payer du 16 février 2016, portant sur un montant de 26'085 fr. (P. 5/45) que celui du 22 août 2016, portant sur la somme de 30'031 fr. 30 (P. 5/46) – montant qui comprend notamment le solde de la soumission encore dû par la recourante à hauteur de 12'000 fr. plus les intérêts à 5% l'an depuis le 14 septembre 2015 – n'a rien de disproportionné ou d'illicite au sens de la jurisprudence rappelée ci-dessus. S'agissant des courriels de l'intimé F.________ à la recourante, plus particulièrement à la lecture du courriel de l'intimé du 5 février 2015 (P. 5/41), on comprend que ce dernier se plaint du fait que la recourante n'a pas donné suite à une demande d'acompte présentée en décembre 2014. Dans son courriel du 14 septembre 2015 (P. 5/38), l'intimé F.________ exprime son mécontentement quant au refus de la recourante de régler des factures restées impayées depuis plusieurs semaines. Il se plaint du chantage exercé par la recourante pour qu'il réalise les retouches et finitions convenues, précisant que ces travaux</w:t>
      </w:r>
    </w:p>
    <w:p>
      <w:r>
        <w:t>- 9 - seront réalisés le 15 septembre 2015. Il exige le payement des montants réclamés dans la semaine à défaut de quoi il "laisse tout tomber". Dans son courriel du 22 septembre 2015 (P. 5/39), l'intimé F.________ se plaint de la "situation unilatérale" et du fait que "tout est à [ses] frais et à ce jour rien n'a été soldé." Il ajoute que les parties doivent "assumer des 2 côtés et pas faire du chantage" indiquant qu'il ne procéderait à l'évacuation "d'eau/fourniture et pose du boute roue" qu'une fois le solde de ses factures honoré, précisant qu'il ne "travaille pas avec du chantage". Enfin, dans son courriel du 19 juin 2017 (P. 5/47), l'intimé indique avoir été informé de l'accord trouvé entre la recourante et un sous-traitant à propos d'une hypothèque légale déposée par ledit sous-traitant. Il espère qu'un accord pourra également être trouvé s'agissant du solde de 26'085 fr., soit 12'000 fr. pour l'entreprise L.________ et 14'085 fr. en faveur d'un sous- traitant, dont il réclamait le paiement à la recourante. En tenant compte du contexte général, il ressort de l'ensemble des courriels échangés entre les parties que tant la recourante que l'intimé F.________ ont exprimé des critiques réciproques et exercé une certaine pression sur l'autre; ainsi la recourante a refusé de payer des factures et l'entrepreneur a menacé de ne pas réaliser le travail demandé, comme cela arrive régulièrement dans le domaine de la construction. Contrairement à ce que soutient la recourante, les éléments constitutifs de la contrainte au sens de l'art. 181 CP ne sont pas réalisés.</w:t>
      </w:r>
    </w:p>
    <w:p>
      <w:r>
        <w:rPr>
          <w:b/>
        </w:rPr>
        <w:t>E. 4</w:t>
      </w:r>
    </w:p>
    <w:p>
      <w:r>
        <w:t>La recourante soutient ensuite qu'il y aurait eu abus de confiance en ce sens que les montants qu'elle avait versés aux intimés l'avaient été sur un compte appartenant à F.________ personnellement. Celui-ci aurait ainsi conservé par devers lui certains montants, ce qui aurait obligé la recourante à payer deux fois certains sous-traitants, pour éviter des hypothèques légales comme cela avait été le cas avec l'un d'eux, à savoir l'entreprise [...]. F.________ aurait également conservé par devers lui des différences entre le montant versé par la recourante et les factures effectives présentées par certains sous-traitants, qui étaient inférieures, citant l'exemple de la société [...].</w:t>
      </w:r>
    </w:p>
    <w:p>
      <w:r>
        <w:t>- 10 -</w:t>
      </w:r>
    </w:p>
    <w:p>
      <w:r>
        <w:rPr>
          <w:b/>
        </w:rPr>
        <w:t>E. 4.1</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L'al.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ATF 121 IV 23 consid. 1c). Du point de vue subjectif, l'auteur doit avoir agi intentionnellement et dans un dessein d'enrichissement illégitime, lequel peut être réalisé par dol éventuel (ATF 118 IV 32 consid. 2a ; TF 6B_356/2016 du 6 mars 2017 consid. 2.1 et les références citées).</w:t>
      </w:r>
    </w:p>
    <w:p>
      <w:r>
        <w:rPr>
          <w:b/>
        </w:rPr>
        <w:t>E. 4.2</w:t>
      </w:r>
    </w:p>
    <w:p>
      <w:r>
        <w:t>En l'espèce, la procureure a retenu que les sommes d'argent versées par la recourante à l'intimé n'étaient pas des « valeurs patrimoniales confiées » au sens de l'art. 138 ch. 1 CP mais représentaient la contreprestation financière d’un contrat d’entreprise de sorte que les éléments constitutifs de l’infraction d’abus de confiance n'étaient pas réunis. Il ressort des pièces du dossier que la recourante a clairement émis le souhait que les parties soient liées par un contrat d'entreprise</w:t>
      </w:r>
    </w:p>
    <w:p>
      <w:r>
        <w:t>- 11 - générale (P. 5/8 et 5/29). Ainsi, on ne peut retenir que l'intimé devait attribuer de manière exclusive les montants versés par la recourante à l'un ou l'autre des sous-traitants, mais bien qu'il pouvait disposer librement des acomptes reçus pour assurer le bon déroulement du chantier. La différence entre les acomptes versés par la recourante et certaines factures produites par les sous-traitants ne constitue dès lors pas un enrichissement illégitime au sens de l'art. 138 ch. 1 CP. Seul un décompte final permettrait de déterminer dans quelle mesure des montants auraient fait l'objet d'une appropriation illicite. Or, rien de tel n'est allégué de manière suffisamment précise pour que cela ressorte des écritures de la recourante. Par ailleurs, le reproche fait par la recourante s'agissant du fait qu'elle a versé les différents acomptes réclamés sur le compte personnel de l'intimé F.________ n'est pas pertinent dans la mesure où aucune règle n'impose à l'entrepreneur de disposer d'un compte indépendant sur lequel ne transiterait que les montants liés à la construction, tout au moins tant que le contrat ne l'impose pas. Enfin, comme déjà relevé plus haut (cf. consid. 2.2 supra), il appartenait à la recourante de s'informer de la solvabilité de ses partenaires avant de s'engager en affaire avec eux. Elle ne peut dès lors rien tirer des précédentes faillites de l'intimé F.________.</w:t>
      </w:r>
    </w:p>
    <w:p>
      <w:r>
        <w:rPr>
          <w:b/>
        </w:rPr>
        <w:t>E. 5</w:t>
      </w:r>
    </w:p>
    <w:p>
      <w:r>
        <w:t>La recourante invoque encore des dommages à la propriété qualifiés, au motif que les prévenus auraient causé volontairement des dégâts à l'immeuble. Elle soutient que ces dégâts auraient été causés par dol éventuel.</w:t>
      </w:r>
    </w:p>
    <w:p>
      <w:r>
        <w:rPr>
          <w:b/>
        </w:rPr>
        <w:t>E. 5.1</w:t>
      </w:r>
    </w:p>
    <w:p>
      <w:r>
        <w:t>L'art. 144 CP punit, sur plainte, celui qui endommage, détruit ou met hors d'usage une chose appartenant à autrui ou frappée d'un droit d'usage ou d'usufruit au bénéfice d'autrui. L'atteinte peut consister à détruire ou à altérer la chose. Mais elle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w:t>
      </w:r>
    </w:p>
    <w:p>
      <w:r>
        <w:t>- 12 - Corboz, Les principales infractions, 3e éd., Berne 2010, n. 11 ss ad art. 144 CP, p. 278 ss). La chose est ainsi endommagée lorsqu'il a été porté atteinte à l'intégrité de celle-ci, notamment en la salissant ou en la souillant dans la mesure où la remise en état exige des efforts en temps, travail et argent (Pozo, Droit pénal, Partie spéciale, Genève-Zurich-Bâle 2009, nn. 1087 et 1088, p. 325), ou lorsque la chose est rendue partiellement impropre à remplir le but auquel elle est destinée (ibidem, n. 1089, p. 325). Du point de vue subjectif, les dommages à la propriété par négligence ne sont pas punissables, seuls ceux causés intentionnellement, où à tout le moins par dol éventuel, réalisant l'infraction visée à l'art. 144 CP (ibidem, n. 1097, p. 327).</w:t>
      </w:r>
    </w:p>
    <w:p>
      <w:r>
        <w:rPr>
          <w:b/>
        </w:rPr>
        <w:t>E. 5.2</w:t>
      </w:r>
    </w:p>
    <w:p>
      <w:r>
        <w:t>En l'espèce, la procureure a retenu que le bâtiment de la recourante n'avait été ni endommagé, ni détruit, ni mis hors d’usage. Selon elle, les risques hypothétiques évoqués par la recourante dans sa plainte, qu’un réaménagement ultérieur des locaux doive être entrepris ou qu’une baisse de loyer par les locataires du bâtiment puisse être demandée du fait des malfaçons alléguées, ne constituaient en aucun cas un dommage à la propriété au sens pénal du terme. Elle a en outre considéré qu'on ne pouvait retenir que les prévenus aient pu avoir, même par dol éventuel, l’intention de causer des dommages par le simple fait d’exécuter les travaux qui leur avaient été commandés. Même si, comme l'allègue la recourante, les deux intimés auraient reconnu les dégâts causés, elle ne démontre pas qu'ils auraient agi dans l'intention, même par dol éventuel, de causer des dégâts. Qu'une volonté de réparer ait ou non été manifestée ne change rien à ce constat. On doit dès lors confirmer l'appréciation faite par le premier juge.</w:t>
      </w:r>
    </w:p>
    <w:p>
      <w:r>
        <w:rPr>
          <w:b/>
        </w:rPr>
        <w:t>E. 6</w:t>
      </w:r>
    </w:p>
    <w:p>
      <w:r>
        <w:t>Compte tenu de ce qui précède, la Procureure de l'arrondissement de l'Est vaudois était fondée à retenir que le litige qui oppose la recourante aux intimés est de nature exclusivement civile. Si cette procédure devait montrer la réalité des faits dénoncés en lien avec des infractions de nature pénale, rien n'empêchera la recourante de</w:t>
      </w:r>
    </w:p>
    <w:p>
      <w:r>
        <w:t>- 13 - demander une reprise de la procédure préliminaire au sens de l'art. 323 CPP (Moreillon/Parein-Reymond, Code de procédure pénale, Bâle 2013, n. 21 ad art. 310 CPP). En l'état, faute de discerner les éléments constitutifs d'une infraction, l'ordonnance est justifiée.</w:t>
      </w:r>
    </w:p>
    <w:p>
      <w:r>
        <w:rPr>
          <w:b/>
        </w:rPr>
        <w:t>E. 7</w:t>
      </w:r>
    </w:p>
    <w:p>
      <w:r>
        <w:t>En définitive, le recours doit être rejeté sans échange d’écritures (art. 390 al. 2 CPP) et l’ordonnance attaquée confirmée. Les frais d’arrêt, par 1'210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2 juillet 2018 est confirmée. III. Les frais d'arrêt, par 1'210 fr. (mille deux cent dix francs), sont mis à la charge de K.________. IV. L’arrêt est exécutoire. Le président : La greffière : Du Le présent arrêt, dont la rédaction a été approuvée à huis clos, est notifié, par l'envoi d'une copie complète, à : - Me Ludovic Tirelli, avocat (pour K.________), - Ministère public central,</w:t>
      </w:r>
    </w:p>
    <w:p>
      <w:r>
        <w:t>- 14 - et communiqué à : - Mme la Procureure de l'arrondissement de l'Est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