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PE17.024818 vom 1. April 2019</w:t>
      </w:r>
    </w:p>
    <w:p>
      <w:r>
        <w:t>VD Tribunal cantonal, 2019-04-01, FR</w:t>
      </w:r>
    </w:p>
    <w:p>
      <w:r>
        <w:rPr>
          <w:b/>
        </w:rPr>
        <w:t xml:space="preserve">Quelle: </w:t>
      </w:r>
      <w:r>
        <w:t>https://mcp.opencaselaw.ch/entscheid/vd_gerichte_PE17.024818</w:t>
      </w:r>
    </w:p>
    <w:p>
      <w:r>
        <w:t>FR: VD_GERICHTE PE17.024818 du 1 avril 2019</w:t>
      </w:r>
    </w:p>
    <w:p>
      <w:r>
        <w:t>IT: VD_GERICHTE PE17.024818 del 1 aprile 2019</w:t>
      </w:r>
    </w:p>
    <w:p>
      <w:pPr>
        <w:pStyle w:val="Heading2"/>
      </w:pPr>
      <w:r>
        <w:t>Erwägungen</w:t>
      </w:r>
    </w:p>
    <w:p>
      <w:r>
        <w:rPr>
          <w:b/>
        </w:rPr>
        <w:t>E. 1.1</w:t>
      </w:r>
    </w:p>
    <w:p>
      <w:r>
        <w:t>Aux termes de l’art. 279 al. 3 CPP (Code de procédure pénale suisse du 5 octobre 2007, RS 312.0), les personnes dont les raccordements de télécommunication ou l’adresse postale ont été surveillés ou celles qui ont utilisé le même raccordement ou la même adresse postale peuvent interjeter recours conformément aux art. 393 à 397 CPP (CREP 4 mars 2016/161) ; le délai pour déposer recours commence à courir dès la réception de la communication (cf. art. 279 al. 1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Le recours de l’art. 279 al. 3 CPP permet à l’autorité de recours de vérifier la légalité de l’autorisation délivrée par le Tribunal des mesures de contrainte et de constater, en application de l’art. 277 al. 2 CPP, l’éventuelle non-exploitabilité des informations recueillies (Jean-Richard- dit-Bressel, in: Niggli/Heer/Wiprächtiger [éd.], Basler Kommentar, Schweizerische Strafprozessordnung, Jugendstraf-prozessordnung, 2014, 2e éd., nn. 10 et 13 ad art. 279 CPP).</w:t>
      </w:r>
    </w:p>
    <w:p>
      <w:r>
        <w:rPr>
          <w:b/>
        </w:rPr>
        <w:t>E. 1.2</w:t>
      </w:r>
    </w:p>
    <w:p>
      <w:r>
        <w:t>En l'espèce, le recours a été interjeté dans le délai légal auprès de l’autorité compétente par le prévenu, qui a qualité pour recourir (art. 382 al. 1 CPP), et dans les formes prescrites (art. 385 al. 1 CPP), de sorte qu’il est recevable.</w:t>
      </w:r>
    </w:p>
    <w:p>
      <w:r>
        <w:rPr>
          <w:b/>
        </w:rPr>
        <w:t>E. 2</w:t>
      </w:r>
    </w:p>
    <w:p>
      <w:r>
        <w:t>Le recourant conteste la mesure de surveillance dont il a fait l’objet, invoquant pour seul motif qu’il serait accusé à tort.</w:t>
      </w:r>
    </w:p>
    <w:p>
      <w:r>
        <w:rPr>
          <w:b/>
        </w:rPr>
        <w:t>E. 2.1</w:t>
      </w:r>
    </w:p>
    <w:p>
      <w:r>
        <w:t>- 6 -</w:t>
      </w:r>
    </w:p>
    <w:p>
      <w:r>
        <w:rPr>
          <w:b/>
        </w:rPr>
        <w:t>E. 2.1.1</w:t>
      </w:r>
    </w:p>
    <w:p>
      <w:r>
        <w:t>Selon l'art. 269 al. 1 CPP, le ministère public peut ordonner la surveillance de la correspondance par poste et télécommunication aux conditions suivantes : de graves soupçons laissent présumer que l'une des infractions visées à l'art. 269 al. 2 CP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 parmi celles-ci figurent en particulier les art. 139 CP (vol) et 146 CP (escroquerie).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 ; TF 1B_450/2017 du 29 mars 2018 consid. 4.1). De même qu'en matière de détention – situation où cependant l'avancement de la procédure doit être pris en considération –,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(ATF 142 IV 289 consid. 2.2.1 ; TF 1B_450/2017 précité consid. 4.1). En vertu du principe de proportionnalité (art. 197 al. 1 let. c et d et 269 al. 1 let. b CPP), la mesure doit être adéquate et poursuivre un</w:t>
      </w:r>
    </w:p>
    <w:p>
      <w:r>
        <w:t>- 7 - intérêt public ; elle ne peut être ordonnée que si elle est susceptible de mener à des résultats concrets. Les circonstances d'espèce sont dès lors déterminantes pour examiner la gravité de l'infraction ; à cet égard, il n'est pas en soi suffisant que celle-ci figure dans le catalogue de l'art. 269 al. 2 CPP. La surveillance peut ainsi être mise en œuvre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Une surveillance ne peut encore être autorisée que si elle respecte le principe de subsidiarité (art. 269 al. 1 let. c CPP). Celui-ci présuppose notamment que l'autorité examine d'abord si une autre mesure moins incisive peut atteindre le résultat recherché (ultima ratio ; ATF 142 IV 289 consid. 2.3 ; ATF 141 IV 459 consid. 4.1 ; TF 1B_450/2017 précité consid. 4.1).</w:t>
      </w:r>
    </w:p>
    <w:p>
      <w:r>
        <w:rPr>
          <w:b/>
        </w:rPr>
        <w:t>E. 2.1.2</w:t>
      </w:r>
    </w:p>
    <w:p>
      <w:r>
        <w:t>L’art. 273 al. 1 CPP prévoit que, lorsque de graves soupçons laissent présumer qu’un crime, un délit ou une contravention au sens de l’art. 179septies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ainsi que les données relatives au trafic et à la facturation (let. b). L’ordre de surveillance est soumis à l’autorisation du tribunal des mesures de contrainte (art. 273 al. 2 CPP). L’art. 273 al. 3 CPP prévoit par ailleurs que les données mentionnées à l’art. 273 al. 1 CPP peuvent être demandées avec effet rétroactif sur une période de six mois au plus. L’accès aux données visées par l’art. 273 al. 1 CPP est moins restreint, en ce sens qu’il n’est pas indispensable, pour y accéder, que la personne suspecte soit soupçonnée d’avoir commis une des infractions figurant dans la liste de l’art. 269 al. 2 CPP. Ces exigences moindres se justifient parce que les données visées ne portent pas sur le contenu des communications. Leur transmission constitue donc une atteinte moins grave aux droits fondamentaux que l’interception et l’enregistrement de la</w:t>
      </w:r>
    </w:p>
    <w:p>
      <w:r>
        <w:t>- 8 - correspondance effectués à l’aide d’installations de communication (Bacher/Zufferey, Commentaire romand, CPP, 2011, nn. 2 et 5 ad art. 273 CPP ; Jean-Richard-dit-Bressel, op. cit., nn. 3 ss ad art. 273 CPP ; CREP 19 mai 2016/336 ; CREP 4 mars 2016/161).</w:t>
      </w:r>
    </w:p>
    <w:p>
      <w:r>
        <w:rPr>
          <w:b/>
        </w:rPr>
        <w:t>E. 2.2</w:t>
      </w:r>
    </w:p>
    <w:p>
      <w:r>
        <w:t>En l’occurrence, le Tribunal des mesures de contrainte a déclaré adhérer à la demande du Ministère public au motif qu’elle était complète et convaincante. Il a considéré que les éléments au dossier permettaient de suspecter T.________ d’avoir commis ou participé à une escroquerie, que la mesure se justifiait au regard de la gravité de l’infraction, que les mesures prises jusqu’alors dans le cadre de l’instruction étaient restées sans succès, qu’en l’absence de surveillance, les recherches n’auraient aucune chance d’aboutir ou seraient excessivement difficiles et que la durée de la surveillance respectait le principe de la proportionnalité. Cette appréciation ne prête pas le flanc à la critique et doit être confirmée. A la lecture du dossier, on constate qu’il existait au moment du dépôt de la demande du Ministère public, des indices sérieux de culpabilité qui justifiait la mesure requise. Les investigations policières laissent en effet penser que le prévenu était le seul à avoir possédé une clé permettant de faire démarrer le véhicule dérobé. Avant d’être informé que le double remis au couple de voleurs était défectueuse, le prévenu a lui-même affirmé avoir été en permanence en possession d’une clé. Il s’est ensuite rétracté en indiquant qu’il n’aurait jamais touché de clé et que ce serait son beau-frère qui en aurait eu une. Outre ces contradictions qui mettent à mal la crédibilité du recourant, on constate que le couple qui a dérobé le véhicule était au courant que celui-ci avait fait l’objet d’une transaction. Ces éléments soulèvent des interrogations sérieuses quant à l’implication du prévenu, le plaignant n’ayant a priori aucun intérêt à voir le véhicule disparaître puisqu’il n’était pas assuré. Les éléments au dossier étaient par conséquent suffisants pour ordonner la mesure de surveillance litigieuse. Le grief du recourant doit être rejeté, étant rappelé qu’à ce stade de la procédure, la vraisemblance</w:t>
      </w:r>
    </w:p>
    <w:p>
      <w:r>
        <w:t>- 9 - suffit (cf. ATF 141 IV 459 consid. 4.1). C’est à l’autorité de jugement qu’il appartiendra de se prononcer sur sa culpabilité. Pour le surplus, l’infraction d’escroquerie pour laquelle T.________ est poursuivi est grave et figure au catalogue de l’art. 269 al. 2 CPP. Enfin, on ne voit pas en quoi la surveillance rétroactive dont il a fait l’objet serait disproportionnée. Le recourant ne l’indique au demeurant pas lui-même.</w:t>
      </w:r>
    </w:p>
    <w:p>
      <w:r>
        <w:rPr>
          <w:b/>
        </w:rPr>
        <w:t>E. 3</w:t>
      </w:r>
    </w:p>
    <w:p>
      <w:r>
        <w:t>Il résulte de ce qui précède que le recours doit être rejeté et l’ordonnance attaquée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21 décembre 2017 est confirmée. III. Les frais d’arrêt, par 880 fr. (huit cent huitante francs), sont mis à la charge du recourant. IV. L’arrêt est exécutoire. Le président : La greffière :</w:t>
      </w:r>
    </w:p>
    <w:p>
      <w:r>
        <w:t>- 10 - Du Le présent arrêt, dont la rédaction a été approuvée à huis clos, est notifié, par l'envoi d'une copie complète, à : - M. T.________,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