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PE17.024787 vom 21. August 2023</w:t>
      </w:r>
    </w:p>
    <w:p>
      <w:r>
        <w:t>VD Tribunal cantonal, 2023-08-21, FR</w:t>
      </w:r>
    </w:p>
    <w:p>
      <w:r>
        <w:rPr>
          <w:b/>
        </w:rPr>
        <w:t xml:space="preserve">Quelle: </w:t>
      </w:r>
      <w:r>
        <w:t>https://mcp.opencaselaw.ch/entscheid/vd_gerichte_PE17.024787</w:t>
      </w:r>
    </w:p>
    <w:p>
      <w:r>
        <w:t>FR: VD_GERICHTE PE17.024787 du 21 août 2023</w:t>
      </w:r>
    </w:p>
    <w:p>
      <w:r>
        <w:t>IT: VD_GERICHTE PE17.024787 del 21 agosto 2023</w:t>
      </w:r>
    </w:p>
    <w:p>
      <w:pPr>
        <w:pStyle w:val="Heading2"/>
      </w:pPr>
      <w:r>
        <w:t>Erwägungen</w:t>
      </w:r>
    </w:p>
    <w:p>
      <w:r>
        <w:rPr>
          <w:b/>
        </w:rPr>
        <w:t>E. 2</w:t>
      </w:r>
    </w:p>
    <w:p>
      <w:r>
        <w:t>février 2022 consid. 2.2). A l’inverse, revêt la qualité de gérant le directeur et secrétaire général d’une fondation qui était chargé de la gestion financière de celle-ci et disposait d’une grande indépendance compte tenu de son pouvoir de signature individuel sur les comptes bancaires et le CCP de la fondation (TF 6B_412/2016 du 10 février 2017, consid. 2.2). Est également un gérant au sens de l’art. 158 ch. 1 CP celui qui doit surveiller la gestion des intérêts pécuniaires d’autrui et non les gérer directement. Tel est le cas notamment des membres du conseil d’administration d’une société anonyme ou d’un conseil de fondation (Message du Conseil fédéral concernant la modification du code pénal suisse et du code pénal militaire du 24 avril 1991, FF 1991 pp. 933 ss, spéc. 1018 ; Scheidegger/von Wurstemberger, op. cit., n. 27 ad art. 158 CP). En cas de délégation de la gestion, celui qui délègue est tenu de manière intransmissible et inaliénable d’exercer la haute surveillance sur la gestion et en répond (Scheidegger/von Wurstemberger, op. cit., n. 30 ad art. 158 CP). 4.3 Le Tribunal correctionnel a retenu que Q.D.________ disposait d’une autonomie dans le choix des personnes qu’il mettait en œuvre pour la Fondation W.________ à travers R.________, du tarif horaire auquel il les rémunérait et du tarif horaire auquel il refacturait leurs prestations à la</w:t>
      </w:r>
    </w:p>
    <w:p>
      <w:r>
        <w:t>- 31 - Fondation. En outre, bien que l’aval du Conseil ait été nécessaire pour libérer le paiement des factures de la Fondation, les premiers juges ont relevé qu’il bénéficiait de la confiance de ses membres en sa qualité de Secrétaire général et que lui seul connaissait l’importance de la différence entre le coût du mandataire et la refacturation à la Fondation. Il disposait ainsi de l’autonomie nécessaire pour faire de lui un gérant au sens de l’art. 158 ch. 1 CP. 4.3.1 Contrairement au raisonnement précité, la Cour considère que Q.D.________ n’avait pas la qualité de gérant, n’étant pas au bénéfice d’un pouvoir de disposition autonome sur le personnel, les moyens et les ressources de la Fondation. Il faut tout d’abord rappeler que les tâches incombant à Q.D.________ et sa charge de travail ont évolué au fil du temps. Il avait initialement été engagé en tant qu’indépendant, en qualité de Secrétaire général de la Fondation à un taux d’activité de 50 %, puis 75 % (PV aud. 1, R. 3 et 5). Ses tâches se sont graduellement étoffées en raison des différents projets de rénovation sur le site de [...] et du désengagement progressif de la société exploitant ce site, S.________ SA. Le Conseil était conscient de l’augmentation des tâches de Q.D.________ et attendait de lui qu’il fasse le nécessaire pour assumer la situation (PV aud. 1, R. 7 ; PV aud. 7, R. 10 ; PV aud. 13, R. 7). On rappellera également que jusqu’en 2016 la Fondation avait choisi pour mode de fonctionnement de n’engager aucun collaborateur à l’interne, mais de recourir à des mandataires externes. Les membres du Conseil ont expliqué que ce choix était dicté par des raisons politiques et financières (PV aud. 7, R. 7 ; PV aud. 13, R. 4 et 5 ; PV aud. 16, R. 9 ; PV aud. 23, R. 9 ; PV aud. 25, R. 9 et 51), et avait également des fondements pratiques, dès lors que le site devait fonctionner 24h/24 – ce qui aurait nécessité d’appliquer le système des 3x8 pour avoir des collaborateurs disponibles en permanence – et que le Conseil ne souhaitait pas prendre le risque d’engager des collaborateurs qu’il aurait peut-être fallu licencier par la suite en raison de l’avenir incertain de la Fondation (PV aud. 14, R. 28 ;</w:t>
      </w:r>
    </w:p>
    <w:p>
      <w:r>
        <w:t>- 32 - PV aud 16, R. 7 et 69). L’externalisation des tâches offrait plus de flexibilité à la Fondation. Ainsi, celle-ci pouvait rompre les mandats à tout moment et n’avait pas à assurer la logistique et l’infrastructure nécessaires à son bon fonctionnement ni à supporter les risques entrepreneuriaux. Tant les coûts liés à l’infrastructure et la logistique que les risques entrepreneuriaux incombaient donc aux mandataires externes. 4.3.2 S’agissant du personnel de la Fondation, Q.D.________ n’a jamais eu le pouvoir d’engager du personnel pour celle-ci. Durant de nombreuses années, le Conseil n’a pas souhaité engager d’employés au sein de la Fondation et savait que Q.D.________ devait embaucher du personnel et déléguer une partie de ses tâches, et ce avant même le désengagement de S.________ SA, afin de remplir les missions croissantes qui lui incombaient. Il n’était ainsi pas attendu qu’il exécute en personne ses tâches (P. 70/1, PV du 08.04.2011, ch. 3c ; PV aud. 7, R. 9 ; PV aud. 16, R. 6 et 8 ; PV aud. 13, R. 45 ; PV aud. 22, R. 12 ; PV aud. 23, R. 11). Ainsi, l’appelant était légitimé à se faire assister par des tiers, qu’il s’agisse d’employés de R.________ ou de sous-traitants, comme ceux dont il est question en l’espèce. De plus, R.________ avait d’autres clients que la Fondation et les sous-traitants étaient mis en œuvre pour effectuer des travaux en faveur de toute la clientèle de R.________. L’autonomie de Q.D.________ pour choisir les personnes dont il s’entourait ainsi que le tarif auquel il les rémunérait découlait ainsi de son indépendance dans la gestion de sa propre raison individuelle. Le tarif auquel les prestations des sous-traitants étaient refacturées à la Fondation n’avait quant à lui pas été choisi de façon autonome par l’appelant. Il correspondait au tarif horaire moyen qui avait été discuté et approuvé par le Conseil pour les mandataires permanents, y compris R.________ (cf. consid. 5.3). Enfin, lorsque la Fondation a fait le choix d’initier le processus d’internalisation, la gestion des ressources humaines a été confiée à R.D.________. Celle-ci était en contact direct avec J.________ et ne passait pas par le secrétariat général, et donc Q.D.________ (PV aud. 8, R. 47 et 49 ; PV aud. 24, R. 13 ; PV aud. 14, R. 18 et 19 ; PV aud. 16, R. 58). L’appelant ne bénéficiait ainsi pas de pouvoir de disposition sur le personnel de la Fondation.</w:t>
      </w:r>
    </w:p>
    <w:p>
      <w:r>
        <w:t>- 33 - 4.3.3 S’agissant des activités et des intérêts pécuniaires de la Fondation, le Conseil était en charge de la stratégie et la Délégation de la gestion opérationnelle (PV aud. 21, R. 21 ; PV aud. 29, R. 36). Q.D.________ devait soumettre les objets qui nécessitaient des engagements financiers au Conseil pour validation. Une fois les budgets votés par le Conseil, la Délégation se chargeait de leur mise en œuvre et du suivi des projets (PV aud. 13, R. 3 ; PV aud. 42, R. 25). Q.D.________ ne disposait au demeurant pas de la capacité d’attribuer des mandats au nom de la Fondation (PV aud. 7, R. 45 ; PV aud. 16, R. 25 et 26 ; PV aud. 21, R. 48 et 49 ; PV aud. 44, R. 23). Ainsi, bien que Q.D.________ ait disposé d’une marge de manœuvre opérationnelle, notamment pour engager des dépenses au nom de la Fondation jusqu’à un montant de 50'000 fr. dans le cadre des lignes d’un budget approuvé et de 1'000 fr. en dehors du budget (jugement entrepris, p. 32), celle-ci était très limitée. Au surplus, bien que Q.D.________ avait pour tâche de contrôler et d’inscrire les factures dans le grand livre en sa qualité de Secrétaire général, il ne lui appartenait pas de procéder à leur paiement. Toutes les factures, y compris celles de R.________, étaient transmises par Q.D.________ au Service de l’économie et du tourisme (ci-après : SELT) pour contrôle avant que le paiement soit effectué (PV aud. 7, R. 35 et 36). Même si la nature du contrôle effectué n’était pas claire pour les membres du Conseil – certains pensaient qu’il s’agissait d’un simple contrôle formel (PV aud. 16, R. 42), alors que d’autres croyaient que le contrôle s’étendait également à la plausibilité des factures (P. 130/1/3 ; PV 13, R. 41 ; PV aud. 21, R. 40 ; PV aud. 23, R. 24) – il ne fait aucun doute que c’était l’apposition de la signature de H.________, puis plus tard de J.________, qui permettait de libérer les paiements (PV aud. 7, R. 35 ; PV aud. 16, R. 39 ; PV aud. 22, R. 30 ; PV aud. 45, R. 13 ; PV aud. 47, R. 13). Au demeurant, Q.D.________ a déclaré n’avoir jamais contrôlé ou signé des factures émanant de R.________, car il considérait que le contrôle du SELT et de H.________ ou J.________ avait valeur de validation (PV aud. 26, R. 23 ; PV aud. 33, R. 10). Q.D.________ n’avait donc pas de pouvoir de gestion ni de disposition sur les ressources financières de la Fondation. Il n’est pas déterminant que le Conseil, respectivement son secrétaire, ait fait le choix de n’effectuer qu’un contrôle formel des factures. Il était clair pour les membres du Conseil, ou</w:t>
      </w:r>
    </w:p>
    <w:p>
      <w:r>
        <w:t>- 34 - à tout le moins une partie d’entre eux, que R.________ était la raison individuelle de Q.D.________ et que certains travaux facturés par Q.D.________ et R.________ sortaient du mandat de Secrétaire général (PV aud. 7, R. 39 à 41 ; PV aud. 13, R. 4, 46 et 47 ; PV aud. 14, R. 3 ;PV aud. 16, R. 7). Le potentiel conflit d’intérêts dû à la double fonction de Q.D.________ de Secrétaire général de la Fondation et de prestataire de services pour celle-ci était ainsi connu du Conseil. Celui-ci aurait pu revoir le mode de vérification des factures, à tout le moins s’agissant de R.________, afin d’écarter tout risque d’abus, ce qu’il n’a pas toutefois pas fait. Enfin, Q.D.________ n’avait pas pour mission de surveiller la gestion d’autrui sur le patrimoine de la Fondation. Au vu de ce qui précède, Q.D.________ ne disposait de la qualité de gérant de la Fondation W.________.</w:t>
      </w:r>
    </w:p>
    <w:p>
      <w:r>
        <w:rPr>
          <w:b/>
        </w:rPr>
        <w:t>E. 5.1</w:t>
      </w:r>
    </w:p>
    <w:p>
      <w:r>
        <w:t>Q.D.________ reproche au Tribunal correctionnel d’avoir retenu une abstention à son encontre, soit d’avoir omis d’indiquer au Conseil le tarif horaire auquel étaient payées les personnes dont il refacturait les services à 135 fr., alors que l’acte d’accusation lui reprochait uniquement une action, soit d’avoir facturé à la Fondation, avec une marge bénéficiaire indue, les services prestés par différents sous-traitants. L’appelant conteste que la facturation d’une prestation à son mandant puisse constituer un acte de gestion et que la facturation à un prix fixe d’un sous-traitant régulier ainsi que l’absence d’information quant au montant de la marge bénéficiaire puissent constituer une violation d’un devoir de gestion. Il explique qu’il était chargé, dans le cadre d’un budget donné et avec un tarif préalablement négocié, de recourir à toutes les ressources dont il pouvait disposer, ce qu’il a fait avec ses employés ou en recourant à des sous-traitants. Le Tribunal correctionnel aurait perdu de vue que des coûts supplémentaires de formation, de coordination et de conduite étaient introduits en détachant des collaborateurs/sous-traitants de R.________ pour les faire travailler comme véritables indépendants au profit de la Fondation W.________ et qu’un sous-traitant agit sous la</w:t>
      </w:r>
    </w:p>
    <w:p>
      <w:r>
        <w:t>- 35 - responsabilité de celui qui l’a engagé. L’appelant relève également que l’engagement de sous-traitant, à une exception près, n’a été qu’une mesure d’urgence pour accroître temporairement les ressources de R.________ et fournir un service sous une seule et même conduite, organisation et coordination. Il soutient que le tarif de 135 fr. qu’il appliquait avait été négocié et validé depuis des années, que le potentiel conflit d’intérêts était connu de tous, que le Conseil, respectivement la Délégation, était conscient du fait que le modèle économique choisi présentait à la fois des avantages et des inconvénients et qu’il n’avait rien cherché à dissimuler.</w:t>
      </w:r>
    </w:p>
    <w:p>
      <w:r>
        <w:rPr>
          <w:b/>
        </w:rPr>
        <w:t>E. 5.2.1</w:t>
      </w:r>
    </w:p>
    <w:p>
      <w:r>
        <w:t>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6B_52/2022 du 16 mars 2023 consid. 4.1.6). Agit en violation de ses devoirs au sens de l’art. 158 ch. 1 al. 1 CP celui qui, en tant que gérant, s’expose à un risque commercial non autorisé, parce qu’il ne respecte pas les directives. Les actes qui respectent le cadre d’une gestion d’affaires conforme ne sont pas constitutifs de gestion déloyale, même lorsque les dispositions prises engendrent une perte. Est seul punissable le fait d’encourir des risques</w:t>
      </w:r>
    </w:p>
    <w:p>
      <w:r>
        <w:t>- 36 - qu’un gérant d’affaires prudent ne prendrait pas dans la même situation. En pareil cas, on doit dès lors déterminer à l’avance si les risques auxquels on s’expose sont proscrits en vertu de l’accord intervenu ou des directives émises (ATF 142 IV 346 consid. 3.2). Dans l’appréciation du comportement du gérant, il s’avère indispensable de tenir compte des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pas pris dans la même situation, et ce, compte tenu d’une appréciation ex ante du comportement considéré (Moreillon/Parein-Reymond, Petit commentaire, Code de procédure pénale, 2e éd., Bâle 2016, n. 21 ad art. 158 CPP ; Scheidegger/von Wurstemberger, op. cit., n. 46 ad art. 158).</w:t>
      </w:r>
    </w:p>
    <w:p>
      <w:r>
        <w:rPr>
          <w:b/>
        </w:rPr>
        <w:t>E. 5.2.2</w:t>
      </w:r>
    </w:p>
    <w:p>
      <w:r>
        <w:t>L’art. 400 al. 1 CO oblige le mandataire à rendre compte de sa gestion en tout temps et à la demande du mandant. L'obligation de rendre compte doit permettre au mandant de contrôler l'activité du mandataire (ATF 143 III 348 consid. 5.1.1). Pour y satisfaire,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(TF 5A_126/2020 du 8 juin 2020 consid. 4.1.3.1). Les renseignements à fournir par le mandataire doivent couvrir l’ensemble des éléments propres à permettre au mandant de comprendre les opérations exécutées, de vérifier le respect des instructions qu’il a données et de découvrir les erreurs éventuellement commises (Pierre Tercier et al., Les contrats spéciaux, 5e éd., 2016, n. 4480 p. 639). Le devoir du mandataire de rendre compte est une obligation accrue ou</w:t>
      </w:r>
    </w:p>
    <w:p>
      <w:r>
        <w:t>- 37 - qualifiée d’agir (ATF 140 IV 11 consid. 2.4.2), dont la violation peut être un acte de gestion déloyale réprimé par l’art. 158 ch. 1 CP. Le mandataire est également tenu de restituer tout ce qu’il a reçu dans le cadre du mandat (art. 400 al. 1 CO). La restitution s’étend aux avantages directs et indirects intrinsèquement liés au mandat. L’obligation de restitution s’étend en particulier aux rétrocession, ristournes ou finder’s fees que le mandant perçoit de tiers en raison du mandat, sauf si le mandant est informé de manière complète et conforme à la vérité, notamment quant à l’étendue et aux paramètres de calcul des rétrocessions et y renonce de manière expresse (Scheidegger/von Wurstemberger, op. cit., n. 121 ad art. 158 n. 121). L'obligation de rendre compte comprend en tout cas les informations nécessaires à fonder l'obligation de restitution (art. 400 al. 1 CO), mais elle peut être plus large et concerner des documents qui ne sont pas soumis à l'obligation de restitution, celle-ci garantissant l'obligation de fidélité (art. 398 al. 2 CO) mais ne visant pas le contrôle de l'activité du mandataire (ATF 143 III 348 consid. 5.3.1 ; TF 5A_126/2020 du 8 juin 2020 consid. 4.1.3.1).</w:t>
      </w:r>
    </w:p>
    <w:p>
      <w:r>
        <w:rPr>
          <w:b/>
        </w:rPr>
        <w:t>E. 5.3</w:t>
      </w:r>
    </w:p>
    <w:p>
      <w:r>
        <w:t>Q.D.________ n’ayant pas la qualité de gérant, il n’est en principe pas nécessaire d’examiner les autres conditions d’application de l’art. 158 CP. Il sera toutefois procédé à leur analyse par soucis d’exhaustivité.</w:t>
      </w:r>
    </w:p>
    <w:p>
      <w:r>
        <w:rPr>
          <w:b/>
        </w:rPr>
        <w:t>E. 5.3.1</w:t>
      </w:r>
    </w:p>
    <w:p>
      <w:r>
        <w:t>Le Tribunal correctionnel a retenu que Q.D.________ avait violé son devoir d’information en n’indiquant pas au Conseil le tarif horaire auquel étaient rémunérés les sous-traitants qu’il refacturait à la Fondation au tarif de 135 francs. Toutefois, le tarif horaire en question était appliqué de façon quasi-généralisée par les mandataires permanents. Il incluait, outre le prix du travail à l’heure, les coûts liés à l’infrastructure mise à disposition et une marge en faveur des mandataires. Ce tarif avait été discuté avec le</w:t>
      </w:r>
    </w:p>
    <w:p>
      <w:r>
        <w:t>- 38 - Conseil et était connu de celui-ci (PV aud. 13, R. 32 ; PV aud. 16, R. 61 ; PV aud. 25, R. 32 ; jugement entrepris, p. 5 et 33). Le Conseil, en particulier H.________, ne pouvait d’ailleurs que constater que ce tarif était appliqué de manière uniforme à tous les collaborateurs de R.________, quelle que soit leur fonction, puisque les factures qui lui étaient transmises faisaient systématiquement mention du nombre d’heures facturées et du tarif horaire appliqué. L’existence d’une marge était connue et acceptée. Ainsi, H.________ a déclaré « Je pense que ces coûts étaient facturés au tarif horaire avec une marge. C’est une réalité du modèle économique », « c’est le principe de l’économie de marché. Une entreprise ne peut fonctionner qu’avec une marge » (PV aud. 45, R. 11 ; jugement entrepris, p. 33). Enfin, le Conseil connaissait évidemment l’existence d’un risque de conflit d’intérêt en raison de la double fonction de Q.D.________ (cf. consid. 4.3). Malgré cela, il n’a jamais tenté de prendre des mesures afin de limiter ce risque en changeant par exemple de « modèle économique », dès lors que celui-ci comportait également des avantages pour la Fondation, ou en s’enquérant de la quotité de la marge dont bénéficiait R.________. Dans ces conditions, on ne saurait reprocher à Q.D.________ d’avoir dissimulé des informations, le Conseil ayant connaissance de tous les éléments, y compris l’existence d’une marge bénéficiaire devant être réalisée par R.________ pour pouvoir fonctionner.</w:t>
      </w:r>
    </w:p>
    <w:p>
      <w:r>
        <w:rPr>
          <w:b/>
        </w:rPr>
        <w:t>E. 5.3.2</w:t>
      </w:r>
    </w:p>
    <w:p>
      <w:r>
        <w:t>Le Tribunal correctionnel a estimé que Q.D.________ avait violé son devoir de protéger les intérêts pécuniaires de la Fondation en facturant les prestations fournies par les sous-traitants au-delà de leur prix de revient et en encaissant la différence. Il a retenu que Q.D.________, par sa position de gérant, se devait de préserver les intérêts de la Fondation. Il a considéré qu’il ne s’agissait pas d’une pratique favorable à la Fondation, dès lors qu’elle aurait obtenu un meilleur prix si R.________ n’avait pas servi d’intermédiaire mais que les sous-traitants avaient été facturés directement à la Fondation. Cependant, bien que les sous-traitants avaient le statut d’indépendants, ils travaillaient en pratique de la même manière que des employés de R.________. Cette dernière prenait en charge l’infrastructure, la formation, l’attribution des tâches, la coordination et la supervision des</w:t>
      </w:r>
    </w:p>
    <w:p>
      <w:r>
        <w:t>- 39 - prestations (P. 342, p. 46). En outre, les services des sous-traitants n’étaient pas uniquement mis en œuvre pour le compte de la Fondation, mais également pour d’autres clients de R.________. La façon dont les sous-traitants étaient utilisés et rémunérés ainsi que la marge réalisée relevaient ainsi du fonctionnement interne de R.________. On ne se trouve pas dans une situation où il existerait une obligation de restitution du mandataire en faveur du mandant, telle qu’en matière de rétrocessions. Q.D.________ n’a rien reçu des sous-traitants. Ceux-ci l’ont facturé pour un service qu’ils ont fourni et il s’est contenté de refacturer leurs honoraires à la Fondation à un tarif lui permettant de couvrir les coûts internes engendrés par leur activité et de dégager une marge. Rien ne permet d’affirmer qu’il aurait été plus avantageux pour la Fondation de mandater directement les sous-traitants plutôt que de passer par R.________. En effet, ceux-ci avaient besoin d’une infrastructure et d’une logistique dont la Fondation ne disposait pas. S’en doter aurait nécessité de modifier la manière dont la Fondation avait choisi de fonctionner à l’époque, ce qui aurait été coûteux et l’aurait privée de tous les autres avantages que ce mode de fonctionnement lui offrait. On rappellera à ce propos que R.________ devait prendre en charge la formation, la coordination et la supervision des sous-traitants, elle supportait en outre la responsabilité de toute défaillance de ceux-ci. Il ne peut donc être retenu qu’il aurait été plus intéressant pour la Fondation de mandater directement les sous-traitants. En conclusion, aucun devoir n’a été violé par l’appelant.</w:t>
      </w:r>
    </w:p>
    <w:p>
      <w:r>
        <w:rPr>
          <w:b/>
        </w:rPr>
        <w:t>E. 6.1</w:t>
      </w:r>
    </w:p>
    <w:p>
      <w:r>
        <w:t>Q.D.________ conteste l’existence d’un dommage pour la Fondation W.________. Il souligne que le Conseil, ou à tout le moins sa Délégation, était parfaitement conscient du fait que R.________ facturait toutes ses prestations avec une marge bénéficiaire, de sorte que celle-ci ne peut être considérée comme illicite.</w:t>
      </w:r>
    </w:p>
    <w:p>
      <w:r>
        <w:t>- 40 -</w:t>
      </w:r>
    </w:p>
    <w:p>
      <w:r>
        <w:rPr>
          <w:b/>
        </w:rPr>
        <w:t>E. 6.2</w:t>
      </w:r>
    </w:p>
    <w:p>
      <w:r>
        <w:t>L'infraction de gestion déloyale n'est consommée que s'il y a eu un préjudice (ATF 120 IV 190 consid. 2b p. 193). Tel est le cas lorsqu'on se trouve en présence d'une véritable lésion du patrimoine, c'est-à-dire d'une diminution de l'actif, d'une augmentation du passif, d'une non- diminution du passif ou d'une non-augmentation de l'actif, ou d'une mise en danger de celui-ci telle qu'elle a pour effet d'en diminuer la valeur du point de vue économique; un préjudice temporaire suffit (ATF 121 IV 104 consid. 2c ; TF 6B_843/2022 du 2 août 2023 consid. 4.1). Il n’est pas nécessaire que le dommage corresponde à l’éventuel enrichissement de l’auteur ni qu’il soit chiffré, pourvu qu’il demeure certain (TF 6B_787/2016 du 2 mai 2017 consid. 2.4).</w:t>
      </w:r>
    </w:p>
    <w:p>
      <w:r>
        <w:rPr>
          <w:b/>
        </w:rPr>
        <w:t>E. 6.3</w:t>
      </w:r>
    </w:p>
    <w:p>
      <w:r>
        <w:t>Le Tribunal correctionnel a estimé que les refacturations décidées par Q.D.________ menaient la Fondation W.________ à payer un prix plus élevé pour certaines prestations, alors qu’une internalisation des ressources aurait permis de réduire ces coûts. La Fondation avait ainsi subi un préjudice patrimonial estimé a minima à 84'957 fr. 78. Comme déjà mentionné, le système d’externalisation a été choisi par le Conseil en toute connaissance des avantages et inconvénients qu’il présentait (cf. consid. 4.3). Ce choix ne dépendait pas de Q.D.________, qui a même milité en faveur d’une transition vers une internalisation. En effet, dans un courriel du 18 décembre 2015 à J.________ avec en copie notamment H.________ et G.________, Q.D.________ a déclaré qu’il « n’est pas envisageable de continuer 2016 comme cela s’est développé en 2015 » et demandé à la Délégation de « se prononcer sur transition/transfert de l’essentiel [des travaux ordinaires d’entretien et de réparation] des mandataires/entreprises à une équipe de " Gestion technique infrastructure immobilière ", employée par Fondation W.________ et localisée à [...] » (P. 255/2). De plus, Q.D.________ a également fait part au Conseil de l’état d’épuisement de son équipe et de l’importance d’entamer l’internalisation de certaines fonctions (PV aud. 16, R. 24 et 89). Les membres du Conseil ne considèrent d’ailleurs pas que le retard pris par l’internalisation était du ressort de Q.D.________ (PV aud. 14, R. 30 et</w:t>
      </w:r>
    </w:p>
    <w:p>
      <w:r>
        <w:t>- 41 - 47 ; PV aud. 16, R. 71). Il ne peut ainsi être retenu que l’appelant aurait été à l’origine du maintien du système d’externalisation des tâches. Pour ce qui est de la facturation des heures effectuées par les sous-traitants pour le compte de R.________, Q.D.________ n’avait pas d’obligation de refacturer leur travail au prix coûtant. Le tarif horaire moyen de 135 fr. pratiqué avait été discuté avec le Conseil, qui avait admis que ce tarif devait permettre de couvrir les charges liées notamment à l’infrastructure mise à disposition par R.________ et inclure une marge en faveur de cette dernière (cf. consid. 5.3). Le montant avait été fixé sur le tarif de 160 fr. recommandé par la Conférence de coordination des services de la construction et des immeubles de maîtres d’ouvrage public (KBOB), sur lequel était appliquée une réduction de 15 % régulièrement accordée aux collectivités publiques (P. 227, p. 17 ; PV aud. 1 R. 18 ; PV aud 13, R. 32). Le but de ce tarif était, lorsque les honoraires étaient fondés sur le temps employé effectif, de les calculer sur la base de taux horaires fixés pour différentes catégories de qualification. Ceci permettait d’éviter d’individualiser le salaire horaire de différentes catégories de fonctions pour à la place appliquer un tarif moyen. Une grande partie des activités qui devaient être exécutées pour la Fondation étant en lien avec l’entretien et des travaux sur le site de [...], il était justifié de se fonder sur ces directives. Le tarif a par ailleurs été jugé raisonnable par l’analyste en criminalité économique du Ministère public (P. 227, p. 17). Au regard de l’ensemble de ces éléments, on ne peut affirmer que la Fondation W.________ aurait subi un dommage imputable à une mauvaise gestion de Q.D.________.</w:t>
      </w:r>
    </w:p>
    <w:p>
      <w:r>
        <w:rPr>
          <w:b/>
        </w:rPr>
        <w:t>E. 7.1</w:t>
      </w:r>
    </w:p>
    <w:p>
      <w:r>
        <w:t>Le Ministère public soutient que Q.D.________ a agi de façon intentionnelle. Il affirme que, contrairement à ce que laissait entendre son courriel du 18 décembre 2015, Q.D.________ s’était satisfait de l’externalisation des tâches. Le Parquet relève que, alors que son contrat de mandat était sur le point d’être résilié, le prévenu s’était maintenu à ce</w:t>
      </w:r>
    </w:p>
    <w:p>
      <w:r>
        <w:t>- 42 - poste qui lui permettait de bénéficier et de faire bénéficier ses proches de mandats excessivement rémunérateurs. Le dossier démontrerait en outre que Q.D.________ était très organisé et méticuleux, ce qui exclurait qu’il ait pu agir par négligence durant plusieurs années. Le prévenu aurait démontré le soin qu’il mettait dans les facturations en faisant varier le tarif horaire auquel il refacturait l’activité de D.S.________ à la Fondation W.________ en fonction du tarif auquel il la rémunérait. Q.D.________ aurait en outre été mû par un dessein d’enrichissement illégitime puisque sa situation financière, respectivement celle de R.________, s’était trouvée améliorée du fait de ses agissements. Cet enrichissement serait illégitime car acquis en violation des obligations découlant du droit civil. La Fondation W.________ soutient que Q.D.________ suivait et avait la maîtrise du processus de refacturation des sous-traitants à la Fondation. Il était conscient que les marges qu’il réalisait étaient importantes et s’était au minimum accommodé de marger indûment la Fondation. Il aurait ainsi agi à tout le moins par dol éventuel.</w:t>
      </w:r>
    </w:p>
    <w:p>
      <w:r>
        <w:rPr>
          <w:b/>
        </w:rPr>
        <w:t>E. 7.2.1</w:t>
      </w:r>
    </w:p>
    <w:p>
      <w:r>
        <w:t>L'infraction de gestion déloyale requiert l'intention, qui doit porter sur tous les éléments constitutifs. Le dol éventuel suffit, mais celui- ci doit être nettement et strictement caractérisé vu l'imprécision des éléments constitutifs objectifs de cette infraction (ATF 142 IV 346 consid. 3.2 ; TF 6b_52/2022 du 16 mars 2023 consid. 4.1.7). Selon l'art. 12 al. 2 CP,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(ATF 135 IV 152 consid. 2.3.2). La négligence consciente se distingue du dol éventuel par l'élément volitif. Alors que celui qui agit par dol éventuel s'accommode du résultat dommageable pour le cas où il se produirait, celui qui agit par négligence consciente</w:t>
      </w:r>
    </w:p>
    <w:p>
      <w:r>
        <w:t>- 43 - escompte - ensuite d'une imprévoyance coupable - que ce résultat, qu'il envisage aussi comme possible, ne se produira pas (ATF 133 IV 9 consid. 4.1 ; ATF 130 IV 58 consid. 8.3 ; ATF 125 IV 242 consid. 3c).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125 IV 242 consid. 3c, ATF 119 IV 1 consid. 5a). Peuvent aussi constituer des éléments extérieurs révélateurs, les mobiles de l'auteur et la manière dont il a agi (ATF 133 IV 222 consid. 5.3; 130 IV 58 consid. 8.4; 125 IV 242 consid. 3c ; TF 6B_1180/2022 du 15 juin 2023 consid. 3.2.1.1).</w:t>
      </w:r>
    </w:p>
    <w:p>
      <w:r>
        <w:rPr>
          <w:b/>
        </w:rPr>
        <w:t>E. 7.2.2</w:t>
      </w:r>
    </w:p>
    <w:p>
      <w:r>
        <w:t>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tel est le cas lorsque l'auteur envisage l'enrichissement comme possible et agit néanmoins, même s'il ne le souhaite pas, parce qu'il s'en accommode pour le cas où il se produirait (ATF 142 IV 346 consid. 3.2 ; ATF 105 IV 29 consid. 3a ; TF 6B_631/2022 du 2 mars 2023 consid. 3.1.2).</w:t>
      </w:r>
    </w:p>
    <w:p>
      <w:r>
        <w:rPr>
          <w:b/>
        </w:rPr>
        <w:t>E. 7.3</w:t>
      </w:r>
    </w:p>
    <w:p>
      <w:r>
        <w:t>Les premiers juges ont retenu que Q.D.________ n’avait pas eu l’intention de porter atteinte aux intérêts pécuniaires de la Fondation, qu’il avait uniquement agi par négligence. Ils ont relevé que le prévenu s’était retrouvé sur tous les fronts, qu’il s’était beaucoup investi dans son mandat envers la Fondation et qu’il faisait tout son possible pour maîtriser l’opérationnel et le faisait bien. Des discussions avaient eu lieu quant à la</w:t>
      </w:r>
    </w:p>
    <w:p>
      <w:r>
        <w:t>- 44 - nécessité d’internaliser les mandataires et employés pour réduire les coûts, mais le Conseil ne voulait pas prendre le risque de devoir ensuite licencier et être redevable du salaire pendant le délai de congé. Le courrier de Q.D.________ du 18 décembre 2015 attestait du fait qu’il n’avait pas l’intention de faire durer l’externalisation, quand bien même cela permettait à R.________ de faire une marge. En outre, il apparaissait que Q.D.________ considérait que le tarif de 135 fr. était un tarif moyen permettant de trouver un équilibre entre le tarif payé par la Fondation et le prix réel des prestataires, les mandataires coûtant moins cher compensant ceux coûtant plus cher. Le prévenu n’avait au demeurant pas agi fallacieusement ou en cachette puisque le tarif avait été discuté avec le Conseil. Il apparaissait que Q.D.________ était conscient que la manière d’opérer, notamment en engageant des intervenants externes, coûtait plus cher à la Fondation que l’internalisation des ressources. Il ne faisait pas de doute qu’il avait informé le Conseil de la situation, même s’il n’avait pas fait état de l’ampleur de la marge bénéficiaire pour les cas examinés. Ce raisonnement ne prête pas le flanc à la critique. Comme l’ont relevé les premiers juges, et cela n’est contesté par personne, Q.D.________ s’est énormément investi dans son travail pour le compte de la Fondation. La charge de travail était très importante, tant pour le Secrétaire général que pour le Conseil, et il était nécessaire de parer au plus pressé. Le tarif horaire moyen appliqué devait permettre de simplifier la facturation et de gagner du temps. Aux yeux de l’appelant, son principe était que dans le cas d’employés ou sous-traitants disposant de compétences spécifiques le tarif ne permettrait pas de couvrir les coûts engendrés, alors que pour des employés ou sous-traitants ne disposant pas de telles compétences il permettrait de dégager une marge bénéficiaire importante. On constate d’ailleurs qu’une fois les coûts liés aux infrastructures mises à disposition par R.________ déduits il est arrivé à celle-ci de réaliser des marges négatives. C’était le cas s’agissant des activités déployées par [...], C.S.________ du 1er mars au 11 octobre 2016 et [...] pour l’année 2017 (P. 227, ch. 2.1.10.2.e ; P. 390, p. 5). Au contraire, dans d’autres situations R.________ réalisait des marges</w:t>
      </w:r>
    </w:p>
    <w:p>
      <w:r>
        <w:t>- 45 - positives. Le système devait permettre d’équilibrer les comptes, tout en donnant la possibilité à R.________ de réaliser une marge bénéficiaire lui permettant d’être rentable économiquement. S’agissant des variations de tarif parfois observées, elles s’expliquent par le fait qu’à partir de 2016 R.________ a procédé au calcul du prix de revient horaire de collaborateurs destinés à être repris par la Fondation dans le cadre de l’internalisation qui avait été initiée, délégués sur le site de [...] ou qui avait dû être formés (P. 342, p. 7 ; PV aud. 52, R.</w:t>
      </w:r>
    </w:p>
    <w:p>
      <w:r>
        <w:rPr>
          <w:b/>
        </w:rPr>
        <w:t>E. 10</w:t>
      </w:r>
    </w:p>
    <w:p>
      <w:r>
        <w:t>En définitive, l’appel de Q.D.________ doit être admis, l’appel du Ministère public doit être très partiellement admis et l’appel de la Fondation W.________ doit être rejeté. Le jugement entrepris doit être réformé dans le sens des considérants. Les frais de procédure s’élèvent à 5’140 francs. Ils sont constitués de l’émolument d’audience, par 1’400 fr. (art. 21 al. 2 TFIP), de l’émolument de jugement, par 3’740 fr. (art. 21 al. 1 TFIP). Ils seront mis par moitié à la charge de la Fondation W.________, le solde étant laissé à la charge de l’Etat dans la mesure où l’appel du Ministère public n’est admis que de façon très marginale (art. 428 al. 1 CPP). Q.D.________, qui obtient gain de cause et a procédé avec l’assistance d’un défenseur de choix, a droit à une indemnité pour les dépenses occasionnées par l’exercice raisonnable de ses droits pour la procédure d’appel. Me Stefan Disch a produit une liste des opérations faisant état de 56h14 d’activité d’avocat au tarif horaire de 400 francs. Cela ne prête pas le flanc à la critique au vu de l’ampleur et de la difficulté de la cause. Il conviendra d’ajouter 50 minutes afin de tenir compte de la durée effective de l’audience. Ainsi, pour la période jusqu’au 31 décembre 2023, les honoraire s’élèvent à 15'306 fr. 65, correspondant à 38h16 d’activité. Viennent s’y ajouter des débours forfaitaires à hauteur de 2 % des honoraires admis (art. 19 al. 2 TDC [Tarif des dépens en matière civile du 23 novembre 2010 ; BLV 270.11.6], applicable par renvoi de l’art. 26a al. 6 TFIP), par 306 fr. 15, et la TVA au taux de 7,7 % sur le tout, par 1'202 fr. 20. Pour la période dès le 1er janvier 2024, les honoraires s’élèvent à 7'520 fr., correspondant à 18h48 d’activité. Viennent s’y ajouter les débours forfaitaires de 2 %, par 150 fr. 40, et la TVA au taux de 8,1 % sur le tout, par 621 fr. 30. L’indemnité s’élève donc à 25'106 fr. 65. Celle-ci</w:t>
      </w:r>
    </w:p>
    <w:p>
      <w:r>
        <w:t>- 48 - sera supportée par moitié par la Fondation W.________,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