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PE17.024217 vom 17. Juli 2018</w:t>
      </w:r>
    </w:p>
    <w:p>
      <w:r>
        <w:t>VD Tribunal cantonal, 2018-07-17, FR</w:t>
      </w:r>
    </w:p>
    <w:p>
      <w:r>
        <w:rPr>
          <w:b/>
        </w:rPr>
        <w:t xml:space="preserve">Quelle: </w:t>
      </w:r>
      <w:r>
        <w:t>https://mcp.opencaselaw.ch/entscheid/vd_gerichte_PE17.024217</w:t>
      </w:r>
    </w:p>
    <w:p>
      <w:r>
        <w:t>FR: VD_GERICHTE PE17.024217 du 17 juillet 2018</w:t>
      </w:r>
    </w:p>
    <w:p>
      <w:r>
        <w:t>IT: VD_GERICHTE PE17.024217 del 17 luglio 2018</w:t>
      </w:r>
    </w:p>
    <w:p>
      <w:pPr>
        <w:pStyle w:val="Heading2"/>
      </w:pPr>
      <w:r>
        <w:t>Erwägungen</w:t>
      </w:r>
    </w:p>
    <w:p>
      <w:r>
        <w:rPr>
          <w:b/>
        </w:rPr>
        <w:t>E. 49</w:t>
      </w:r>
    </w:p>
    <w:p>
      <w:r>
        <w:t>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 En l’espèce, le prévenu s’est rendu coupable d’infraction au sens de l’art. 19 al. 1 let. b, c, d et g LStup, notamment pour avoir détenu et aliéné, respectivement pris des mesures aux fins d’aliéner, 10,1 grammes d’héroïne pure. Cette infraction est passible d’une peine privative de liberté de trois ans au plus ou d’une peine pécuniaire.</w:t>
      </w:r>
    </w:p>
    <w:p>
      <w:r>
        <w:t>- 14 - L’appelant est venu en Suisse pour se livrer à ce trafic et a activement cherché des consommateurs, se procurant des listes de clients potentiels auprès de compatriotes (jugement, p. 10), ce qui établit qu’il a gardé des contacts dans ce milieu. Même s’il ne semble pas appartenir à une organisation, il bénéfice de relations de confiance avec des trafiquants de drogue. Il s’est livré, en très peu de temps, à une activité soutenue, à laquelle seule son arrestation a mis fin. Il est en outre en récidive spéciale. De plus, les regrets exprimés, en dernier lieu à l’audience d’appel, n’apparaissent pas sincères, dès lors que le prévenu ne déplore que les conséquences de la sanction pour lui, mais pas d’avoir écoulé de la drogue sur le marché ou enfreint l’ordre juridique suisse. Cette posture de victime ressort en particulier du propos selon lequel « [c]e serait terrible qu[’il] soi[t] maintenu en détention (…) » et du fait qu’il n’exprime pas le moindre mot de remord pour les toxicomanes qu’il a approvisionnés, ne serait-ce que sous l’angle général de l’atteinte portée à la santé publique, alors même qu’il explique qu’il avait besoin d’argent pour payer le traitement médical de son épouse, atteinte d’un cancer du sein. Ces éléments à charge sont significatifs. On ne discerne aucun élément à décharge, son bon comportement en détention et son âge ne constituant pas des circonstances particulières. En outre, le fait que sa femme est malade ne constitue pas un élément à décharge. La culpabilité de l’auteur est ainsi importante. Seule une peine privative de liberté ferme peut entrer en ligne de compte, tant le pronostic est par ailleurs défavorable. Le prévenu ne fait en effet preuve d’aucune prise de conscience. Ni une peine de détention conséquente, ni le fait d’être exposé à une révocation du sursis, ne l’ont détourné de revenir en Suisse, où il n’a aucune attache, pour se livrer à un trafic d’héroïne. Une sanction d’un peu moins de huit mois pour les nouvelles infractions commises apparaît adéquate au vu de la culpabilité du prévenu. A l’opposé, le Ministère public ne met en exergue aucun facteur à charge supplémentaire qui justifierait de prononcer une peine de 14 mois pour réprimer ces infractions.</w:t>
      </w:r>
    </w:p>
    <w:p>
      <w:r>
        <w:t>- 15 - En outre, le risque de réitération paraît très élevé. Le prévenu a récidivé selon le même mode opératoire, malgré le fait qu’il avait purgé une très longue peine privative de liberté et qu’il était susceptible de voir sa réintégration ordonnée pour une durée conséquente de deux ans, huit mois et deux jours. Il a ainsi trahi la confiance placée en lui par l’autorité compétente neuchâteloise qui l’a libéré d’une partie de la peine au motif qu’il quitterait la Suisse, comme il s’y était engagé lors de son audition du 5 novembre 2015 (P. 6, p. 3). Dans la présente procédure, il n’a guère donné d’information sur sa situation professionnelle et son lieu de vie, se limitant à des assertions invérifiables et à des projets peu aboutis. Il paraît donc presque certain qu’il n’hésitera pas à revenir en Suisse dans le dessein de commettre des infractions, singulièrement en matière de stupéfiants, aux fins de s’enrichir à hauteur des besoins économiques élevés qu’il dit avoir. En présence d’un pronostic défavorable selon l’art. 89 al. 2, 1re phrase, CP, la réintégration s’impose dès lors. La peine d’ensemble de 40 mois prononcée par les premiers juges apparaît ainsi adéquate. Il y a donc lieu de la confirmer. 6. La détention subie par le prévenu depuis le jugement de première instance sera déduite (art. 51 CP). Le maintien en détention de l’intéressé doit être ordonné au titre de la poursuite de l’exécution anticipée de peine dont il bénéficie depuis le 23 février 2018. 7. En définitive, l’appel du prévenu et l’appel joint du Ministère public doivent être rejetés et le jugement attaqué confirmé. Vu l'issue de la cause, les frais d'appel, constitués de l’émolument de jugement (art. 21 al. 1 et 2 TFIP [Tarif des frais de procédure et indemnités en matière pénale du 28 septembre 2010; BLV 312.03.1]) et de l’indemnité de défense d'office (art. 422 al. 1 et 2 let. a CPP), seront mis par moitié à la charge du prévenu, le solde étant laissé à la charge de l’Etat, chaque partie succombant sur ses conclusions (art. 428 al. 1 CPP).</w:t>
      </w:r>
    </w:p>
    <w:p>
      <w:r>
        <w:t>- 16 - Le montant de l’indemnité allouée au défenseur d'office de l’appelant doit être arrêté sur la base de la liste d’opérations produite, étant également tenu compte de la durée de l’audience d’appel et des entretiens du défenseur avec le client avant et après celle-ci. Outre un travail d’avocat d’une durée de sept heures et demie, doivent être pris en compte deux vacations à 120 fr. et les autres débours requis, par 14 francs. L’indemnité s’élève ainsi à 1'727 fr. 50, TVA comprise. L’appelant ne sera tenu de rembourser à l’Etat la moitié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