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PE17.024197 vom 30. April 2018</w:t>
      </w:r>
    </w:p>
    <w:p>
      <w:r>
        <w:t>VD Tribunal cantonal, 2018-04-30, FR</w:t>
      </w:r>
    </w:p>
    <w:p>
      <w:r>
        <w:rPr>
          <w:b/>
        </w:rPr>
        <w:t xml:space="preserve">Quelle: </w:t>
      </w:r>
      <w:r>
        <w:t>https://mcp.opencaselaw.ch/entscheid/vd_gerichte_PE17.024197</w:t>
      </w:r>
    </w:p>
    <w:p>
      <w:r>
        <w:t>FR: VD_GERICHTE PE17.024197 du 30 avril 2018</w:t>
      </w:r>
    </w:p>
    <w:p>
      <w:r>
        <w:t>IT: VD_GERICHTE PE17.024197 del 30 aprile 2018</w:t>
      </w:r>
    </w:p>
    <w:p>
      <w:pPr>
        <w:pStyle w:val="Heading2"/>
      </w:pPr>
      <w:r>
        <w:t>Erwägungen</w:t>
      </w:r>
    </w:p>
    <w:p>
      <w:r>
        <w:rPr>
          <w:b/>
        </w:rPr>
        <w:t>E. 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auprès de l’autorité compétente par le plaignant qui a qualité pour recourir (art. 382 al. 1 CPP), le recours est recevable.</w:t>
      </w:r>
    </w:p>
    <w:p>
      <w:r>
        <w:rPr>
          <w:b/>
        </w:rPr>
        <w:t>E. 2.1</w:t>
      </w:r>
    </w:p>
    <w:p>
      <w:r>
        <w:t>Conformément à l'art. 310 al. 1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de l’infraction ou les conditions</w:t>
      </w:r>
    </w:p>
    <w:p>
      <w:r>
        <w:t>- 5 - d'ouverture de l'action pénale ne sont manifestement pas réunis (let. a), qu’il existe des empêchements de procéder (let. b) ou que les conditions mentionnées à l’art. 8 CPP imposent de renoncer à l’ouverture d’une poursuite pénale (let. c) (TF 1B_709/2012 du 21 février 2013 consid. 3.1 et les références citées).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w:t>
      </w:r>
    </w:p>
    <w:p>
      <w:r>
        <w:t>- 6 - faire en raison d'un rapport de confiance particulier (ATF 133 IV 256 consid. 4. 4.3;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CP, 2e éd., Bâle 2017, nn. 11 ss ad art. 146 CP et les références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ATF 115 IV 32 consid. 3a; Corboz, Les infractions en droit suisse, vol. 1, Berne 2010, nn. 31 et 38 ad art. 146 CP; Dupuis et alii, op. cit., n. 32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2.3</w:t>
      </w:r>
    </w:p>
    <w:p>
      <w:r>
        <w:t>Il y a tentative d'escroquerie si l'auteur, agissant intentionnellement et dans un dessein d'enrichissement, a commencé l'exécution de cette infraction sans poursuivre son exécution jusqu'à son terme ou que le résultat dommageable ne se produit pas (cf. art. 22 CP). Toute tromperie qui ne réussit pas n'est pas nécessairement dénuée de</w:t>
      </w:r>
    </w:p>
    <w:p>
      <w:r>
        <w:t>- 7 -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se l'était figuré ou en raison du hasard ou d'une autre circonstance non prévisible, il y a alors lieu de retenir une tentative de tromperie astucieuse (ATF 128 IV 18 consid. 3b p. 21 et références citées).</w:t>
      </w:r>
    </w:p>
    <w:p>
      <w:r>
        <w:rPr>
          <w:b/>
        </w:rPr>
        <w:t>E. 3</w:t>
      </w:r>
    </w:p>
    <w:p>
      <w:r>
        <w:t>Il résulte de ce qui précède que le recours, manifestement mal fondé, doit être rejeté sans autre échange d’écritures (art. 390 al. 2 CPP) et l’ordonnance confirmée.</w:t>
      </w:r>
    </w:p>
    <w:p>
      <w:r>
        <w:t>- 9 -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14 décembre 2017 est confirmée. III. Les frais de la procédure de recours, par 880 fr. (huit cent huitante francs), sont mis à la charge d’X.________. IV. L’arrêt est exécutoire. Le président : La greffière : Du Le présent arrêt, dont la rédaction a été approuvée à huis clos, est notifié, par l'envoi d'une copie complète, à : - Me Stephen Gintzburger, avocat (pour X.________), - Ministère public central, et communiqué à : - M. le Procureur du Ministère public central, division criminalité économique,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