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PE17.024179 vom 30. Januar 2019</w:t>
      </w:r>
    </w:p>
    <w:p>
      <w:r>
        <w:t>VD Tribunal cantonal, 2019-01-30, FR</w:t>
      </w:r>
    </w:p>
    <w:p>
      <w:r>
        <w:rPr>
          <w:b/>
        </w:rPr>
        <w:t xml:space="preserve">Quelle: </w:t>
      </w:r>
      <w:r>
        <w:t>https://mcp.opencaselaw.ch/entscheid/vd_gerichte_PE17.024179</w:t>
      </w:r>
    </w:p>
    <w:p>
      <w:r>
        <w:t>FR: VD_GERICHTE PE17.024179 du 30 janvier 2019</w:t>
      </w:r>
    </w:p>
    <w:p>
      <w:r>
        <w:t>IT: VD_GERICHTE PE17.024179 del 30 gennaio 2019</w:t>
      </w:r>
    </w:p>
    <w:p>
      <w:pPr>
        <w:pStyle w:val="Heading2"/>
      </w:pPr>
      <w:r>
        <w:t>Erwägungen</w:t>
      </w:r>
    </w:p>
    <w:p>
      <w:r>
        <w:rPr>
          <w:b/>
        </w:rPr>
        <w:t>E. 25</w:t>
      </w:r>
    </w:p>
    <w:p>
      <w:r>
        <w:t>octobre 2017 au lieu du 25 juillet 2017 comme indiqué dans l'acte d'accusation n'y change absolument rien. Il n'y a par conséquent aucune violation du principe de l'accusation. 4. L'appelant conteste la quotité de la peine au motif qu'il ne peut pas être reconnu coupable des faits énoncés au chiffre 2.2.1 de l'acte d'accusation. Comme on vient de le voir, ces faits doivent être retenus contre lui puisque le principe de l'accusation n'a pas été violé. Pour le surplus, vérifiée d'office, la peine privative de liberté d'ensemble de 20 mois est adéquate, dès lors qu'elle tient compte de tous les éléments à charge et à décharge et qu'elle est conforme dans son résultat aux principes applicables en matière de fixation de peine. 5. 5.1 L'appelant conclut au prononcé d'un traitement ambulatoire en lieu et place d'un traitement institutionnel des troubles mentaux. Il fait valoir que les expertes ont confirmé que le prononcé d'un traitement institutionnel aurait moins d'effets bénéfiques, en termes de récidive, que la poursuite du traitement ambulatoire avec le Professeur M.________, et</w:t>
      </w:r>
    </w:p>
    <w:p>
      <w:r>
        <w:t>- 17 - que les premiers juges ont substitué leur propre appréciation à celle des expertes quant au choix de la mesure sans motifs suffisants. 5.2 5.2.1 Aux termes de l'art. 56 al. 1 CP, une mesure doit être ordonnée : si une peine seule ne peut écarter le danger que l'auteur commette d'autres infractions (let. a), si l'auteur a besoin d'un traitement ou que la sécurité publique l'exige (let. b) et si les conditions prévues aux art. 59 à 61, 63 ou 64 CP sont remplies (let. c). Selon l'art. 59 al. 1 CP,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w:t>
      </w:r>
    </w:p>
    <w:p>
      <w:r>
        <w:t>- 18 - 6B_1040/2015 du 29 juin 2016 consid. 5.1 ; TF 6B_708/2015 du 22 octobre 2015 consid. 3.3, non publié in ATF 142 IV 1). La compétence de placer le condamné dans une institution fermée ou un établissement pénitentiaire appartient à l'autorité d'exécution (ATF 142 IV 1). Cela étant, si un placement en milieu fermé apparaît déjà nécessaire au moment du prononcé du jugement, le juge peut et doit l'indiquer dans les considérants en traitant des conditions de l'art. 59 al.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 TF 6B_22/2016 du 1er novembre 2016 consid. 2 ; TF 6B_1040/2015 du 29 juin 2016 consid. 3.1.1). La condition posée par l'art. 59 al. 1 let. b CP – soit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(ATF 141 IV 1 consid. 3.2.4 ; ATF 134 IV 315 consid. 3.4.1). 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w:t>
      </w:r>
    </w:p>
    <w:p>
      <w:r>
        <w:t>- 19 - définition aléatoire et difficile d'évaluer le degré de dangerosité d'un individu. Mais, s'agissant de la décision sur le pronostic, le principe « in dubio pro reo » n'est pas applicable (ATF 127 IV 1 consid. 2a). Reste que la décision du juge doit respecter le principe constitutionnel de la proportionnalité (art. 36 al. 3 Cst.).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d'ultime ratio lorsque la dangerosité existante ne peut être écartée autrement (TF 6B_457/2007 du 12 novembre 2007 consid. 5.2, avec référence à l'ATF 118 IV 108 consid. 2a et les références citées). 5.2.2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 TF 6B_133/2017 du 12 janvier 2018 consid. 1.2 notamment).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w:t>
      </w:r>
    </w:p>
    <w:p>
      <w:r>
        <w:t>- 20 -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6B_1160/2017 du 17 avril 2018 consid. 2.1 et références citées). 5.3 Les premiers juges se sont écartés de l'expertise du 14 novembre 2018 et des déclarations de la Dresse F.________ au cours de l'audience du 25 janvier 2019. Ils ont considéré que le suivi psychiatrique entrepris depuis 2014 et repris dès 2015 par le Professeur M.________ n'avait pas été suffisant pour permettre à l'appelant d'arrêter le visionnage compulsif de nombreuses images et vidéos pornographiques, qu'il avait récidivé quelques mois après sa sortie de prison, que ses déclarations à l'audience étaient inquiétantes et qu'un cadre plus strict était nécessaire afin de contrôler son accès à toute source internet par ordinateur ou téléphone portable et pour des motifs de sécurité publique. L'appelant ne conteste pas, à juste titre, le diagnostic posé – soit un trouble de la personnalité immature, un trouble de la préférence sexuelle (pédophilie) et un syndrome de dépendance à l’alcool actuellement abstinent dans un milieu protégé –, le fait que ses troubles mentaux sont graves, que les infractions ont été commises en relation avec ces troubles et que le risque de récidive est considéré comme élevé. Selon l'expertise du 2 juin 2014, un premier comportement de pornographie infantile de l'appelant a été détecté et dénoncé le 13 novembre 2012 par l'Office fédéral de la police et une instruction</w:t>
      </w:r>
    </w:p>
    <w:p>
      <w:r>
        <w:t>- 21 - préliminaire ouverte. L'appelant a récidivé en cours d'enquête puisque le même office a signalé, le 18 septembre 2013, que la connexion utilisée par celui-ci avait servi à télécharger 25 fichiers aux titres évocateurs de pornographie infantile. L'expertisé n'estimait pas avoir causé du tort aux enfants, était incapable de saisir la gravité des actes délictueux, percevait l'autre comme objet et non comme sujet et s'était constamment positionné en tant que victime. Il n'avait cessé de revenir sur un abus sexuel subi alors qu'il était âgé d'environ sept ans, en le mettant en lien avec son comportement illicite, en avouant avoir aimé ça et en expliquant avoir vécu son seul chagrin d'amour lorsque son abuseur avait été arrêté. Il avait fait des confidences, en expliquant par exemple qu'il savait qu'il devait dire qu'il regrettait les téléchargements, mais que ce n'était pas la vérité. Les praticiennes ont en outre relevé qu'au cours de l'audience du 9 octobre 2013, l'expertisé avait admis qu'il téléchargeait des fichiers pédopornographiques depuis une quinzaine d'années et qu'il visionnait de tels fichiers quotidiennement. L'appelant a été condamné une première fois le 10 juin 2015 à une peine privative de liberté de 11 mois avec sursis pour pornographie et obtention de pornographie dure. De mai 2015 jusqu'au jour de son arrestation, le 22 septembre 2015, l'appelant a à nouveau téléchargé ou mis à disposition sur internet, téléchargé ou inséré au moyen d'une clé USB sur son ordinateur portable et inséré sur son téléphone portable plusieurs milliers de fichiers contenant des images et des vidéos d'actes d'ordre sexuel commis entre ou sur des enfants mineurs de moins de 16 ans. Ont également été découverts un DVD contenant 4'460 fichiers de pornographie infantile et 7 histoires rédigées par l'intéressé décrivant des actes d'ordre sexuel avec des garçons de moins de 16 ans, agrémentées d'images pédopornographiques. L'appelant a été condamné une seconde fois, le 30 juin 2016, à une peine privative de liberté ferme de 12 mois pour pornographie dure, le sursis à la précédente condamnation à une peine privative de liberté à 11 mois étant révoqué. Libéré conditionnellement le 29 décembre 2016, l'appelant est allé le jour-même acheter un ordinateur chez M Electronics (PV aud. 3,</w:t>
      </w:r>
    </w:p>
    <w:p>
      <w:r>
        <w:t>- 22 - R. 3) afin de recommencer les mêmes agissements délictueux, objets de la présente affaire. Il a été arrêté le 25 janvier 2018, à nouveau sur dénonciation de l'Office fédéral de la police. Dans leur rapport du 18 novembre 2018, les expertes ont exposé que le lien thérapeutique tissé avec le Professeur M.________ était excellent et que celui-ci avait confirmé que l'appelant progressait, que son investissement était sincère et que des changements s'opéraient durant les séances. Toutefois, elles ont relevé que l'expertisé minimisait ou niait les délits reprochés, qu'il ne se sentait pas coupable d'avoir fait quelque chose d'illégal, même s'il admettait que les fichiers en question étaient illégaux, qu'il projetait constamment la responsabilité de ses actes sur autrui et avait tendance à se positionner comme victime des événements, rapportant à plusieurs reprises que l'enquête n'était fondée que sur les allégations du procureur. Elles ont exposé que l'expertisé décrivait encore à quel point il était envahi par ses pulsions sexuelles et la reviviscence des abus sexuels subis dans son enfance, qu'il se disait constamment dans une excitation sensorielle sexuelle quasi hallucinatoire, obsédante et compulsive, durant laquelle il revivait les contacts sexuels avec son abuseur, qu'il n'avait toujours pas intégré son statut de victime ni l'illicéité des actes de cet homme à son égard, homme qu'il disait encore aujourd'hui aimer plus que tout et à qui il reprochait non pas d'avoir abusé de lui, mais de l'avoir abandonné, qu'il revivait constamment les scène d'abus qu'il avait vécues par identification lorsqu'il visionnait des images pédopornographiques, qu'il n'avait toujours pas perçu que les enfants étaient les vraies victimes et qu'il éprouvait des difficultés à ériger des barrières correctes à sa problématique pédophile pour y renoncer complètement. A la différence de l'évaluation du 2 juin 2014, les praticiennes ont souligné que des indicateurs montraient que l'appelant tirait un bénéfice de son traitement psychothérapeutique, mais que celui-ci serait de longue haleine pour espérer peut-être une atténuation significative, puisque l'enkystement de la problématique datait de plus de 50 ans. En résumé de ce qui précède, force est de constater que le traitement psychiatrique sous forme ambulatoire mis en place depuis février 2014, soit depuis plus de cinq ans, a échoué. L'appelant a à chaque</w:t>
      </w:r>
    </w:p>
    <w:p>
      <w:r>
        <w:t>- 23 - fois recommencé les mêmes agissements délictueux de pornographie dure, soit en récidivant en cours d'enquête, soit en allant immédiatement acheter le matériel nécessaire à ses forfaits dès sa libération conditionnelle. Il persiste à se poser en victime, allant même jusqu'à rendre la police responsable d'avoir oublié de saisir chez lui une clé USB, qu'il a ensuite visionnée à sa sortie de prison. Il persiste à minimiser ou à nier ses actes et à imputer la responsabilité de ceux-ci aux autres. Il essaie de faire croire que quelqu'un d'autre que lui aurait eu accès à son ordinateur ou qu'il n'aurait téléchargé les fichiers litigieux que par simple curiosité ou par accident. Il joue sur les mots en parlant de sauvegardes et non pas de téléchargements (cf. auditions). Il a même tenté d'améliorer sa stratégie de visionnement, en prenant soin d'installer un logiciel permettant d'effacer les fichiers téléchargés. Son discours durant l'audience d'appel selon lequel il se rend compte qu'il est complice des personnes qui volent leur innocence aux enfants est plaqué : il ne dit que ce qu'on attend de lui au moment opportun, comme en atteste le fait qu'il a déjà avoué aux expertes, en 2014, qu'il savait qu'il devait dire qu'il regrettait les téléchargements illicites, mais que ce n'était pas la vérité. La psychiatre F.________ a en outre indiqué, au cours de l'audience de première instance, que le risque de récidive restait élevé et serait probablement élevé ces prochaines années et qu'on devait s'attendre à ce que l'intéressé consulte des images pédopornographiques malgré le suivi ambulatoire du Professeur M.________ (jgt, p. 4). Les « indicateurs » montrant que l'appelant tire bénéfice du traitement psychothérapeutique ne sont pas suffisants en l'état pour considérer qu'un traitement ambulatoire est suffisant. Le risque de récidive est donc concret et hautement probable. On ne peut désormais plus considérer que seul un traitement ambulatoire sera propre à détourner l'appelant de la délinquance. La prise en charge dans un établissement ouvert n'est pas appropriée non plus, à tout le moins dans un premier temps, dès lors que l'appelant a récidivé le jour de sa libération conditionnelle et qu'il est fortement à craindre qu'il fasse de même lorsqu'il sortira de prison. Le traitement institutionnel en milieu fermé constitue donc la seule mesure apte à atteindre le but de</w:t>
      </w:r>
    </w:p>
    <w:p>
      <w:r>
        <w:t>- 24 - soigner l'appelant et à diminuer le risque élevé de récidive, tout en préservant la société du danger qu'il peut représenter. Seul un long suivi régulier, dans un cadre contenant et sécurisé, pourra apporter une modification en profondeur de la personnalité de l'appelant et de ses comportements. L'exécution d'un tel traitement n'apparaît pas vouée à l'échec, puisque les expertes ont relevé que l'appelant pouvait parler de son enfance et commencer à élaborer les abus subis, que les entretiens lui faisaient du bien, qu'il existait des perspectives thérapeutiques au traitement prodigué, que plusieurs indicateurs montraient que l'appelant tirait un bénéfice de son traitement psychothérapeutique et que celui-ci avait toujours été motivé à suivre une thérapie. Enfin, contrairement à ce que pense la Dresse F.________, il n'est nullement établi que l'appelant ne pourra pas bénéficier d'un suivi psychothérapeutique de qualité pour le traitement de ses troubles mentaux en institution. Le tribunal de première instance a insisté « sur le fait que le traitement psychothérapeutique doit être poursuivi dans le cadre institutionnel et surtout qu'il se poursuive dans la mesure du possible avec le Professeur M.________, vu le lien thérapeutique déjà établi », indiquant aussi qu'il « appartiendra à l'Office d'exécution des peines de mettre en place les modalités du traitement » (jgt, p. 33). Compte tenu de l'alliance thérapeutique semblant exister avec ce spécialiste, la Cour d'appel partage pleinement la position du tribunal. Comme les premiers juges, il y a lieu de s'écarter des conclusions du rapport d'expertise et d'ordonner un traitement institutionnel des troubles mentaux. 6. 6.1 L'appelant demande la restitution du téléphone portable de marque Wiko séquestré sous fiche no 50301/18. Il allègue que celui-ci appartient à sa mère, qu'il ne contenait aucun matériel à caractère pornographique et qu'il n'a pas servi à commettre des infractions.</w:t>
      </w:r>
    </w:p>
    <w:p>
      <w:r>
        <w:t>- 25 - 6.2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De plus,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6B_35/2017 du 26 février 2018 consid. 9.1). 6.3 Contrairement à ce que l'appelant soutient, le téléphone portable Wiko n'appartient pas à sa mère. Il suffit pour s'en convaincre de consulter les photographies de garçons issues de cet appareil annexées au procès-verbal d'audition du 29 mars 2018, plus particulièrement celle montrant deux garçons nus faisant du vélo (PV aud. 3, D. 8), et de constater qu'il a lui-même dit que ce téléphone était celui qu'il utilisait principalement (PV aud. 1, R. 7). De plus, l'appelant a aussi dit, au cours de l'audition du 25 janvier 2018, que sa mère était âgée de 89 ans et était presque aveugle (PV aud. 2, lignes 71-73). Compte tenu du risque de récidive hautement probable, les conditions pour la confiscation et la destruction de ce téléphone sont pleinement réalisées.</w:t>
      </w:r>
    </w:p>
    <w:p>
      <w:r>
        <w:t>- 26 - 7. Il résulte de ce qui précède que l'appel de X.________ doit être rejeté et le jugement entrepris confirmé. Conformément à l’art. 51 CP, la détention subie depuis le jugement de première instance sera déduite de la peine privative de liberté prononcée. Le maintien en détention de X.________ pour des motifs de sûreté (art. 220 al. 2 CPP) est ordonné pour garantir l'exécution de la peine, puisqu'il est fortement à craindre qu'il récidive dès qu'il sera libéré. Me Alexandre Curchod, défenseur d'office de l'appelant, a produit une liste d'opérations indiquant 14,2 h d'activité et deux vacations. Il sera retenu 13,5 h, car le temps consacré à l'audience d'appel a été surévalué. Au tarif horaire de 180 fr. (art. 2 al. 1 let. a et 3 RAJ [règlement sur l'assistance judiciaire en matière civile du 7 décembre 2010 ; BLV 211.02.3], applicables par renvoi de l'art. 26b TFIP [tarif des frais de procédure et indemnités en matière pénale du 28 septembre 2010 ; BLV 312.03.1]), l'indemnité s'élève à 2'430 francs. S'y ajoutent deux vacations à 120 fr. et 2 % pour les débours (art. 3bis RAJ, applicable par renvoi de l'art. 26b TFIP), soit 48 fr. 60, de sorte que l'indemnité d'office s'élève au total à 2'927 fr. 95, TVA par 7,7 % incluse. Vu l’issue de la cause, l'émolument d’appel, par 2'790 fr. (art. 21 al. 1 et 2 TFIP), et l'indemnité du défenseur d'office de l'appelant, par 2'927 fr. 95, soit au total 5'717 fr. 95, seront mis à la charge de l'appelant, qui succombe (art. 428 al. 1 CPP). L’appelant sera tenu de rembourser le montant de l’indemnité en faveur de son défenseur d’office dès que sa situation financière le permettra (art. 135 al. 4 let. a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