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PE17.023906 vom 8. November 2018</w:t>
      </w:r>
    </w:p>
    <w:p>
      <w:r>
        <w:t>VD Tribunal cantonal, 2018-11-08, FR</w:t>
      </w:r>
    </w:p>
    <w:p>
      <w:r>
        <w:rPr>
          <w:b/>
        </w:rPr>
        <w:t xml:space="preserve">Quelle: </w:t>
      </w:r>
      <w:r>
        <w:t>https://mcp.opencaselaw.ch/entscheid/vd_gerichte_PE17.023906</w:t>
      </w:r>
    </w:p>
    <w:p>
      <w:r>
        <w:t>FR: VD_GERICHTE PE17.023906 du 8 novembre 2018</w:t>
      </w:r>
    </w:p>
    <w:p>
      <w:r>
        <w:t>IT: VD_GERICHTE PE17.023906 del 8 novembre 2018</w:t>
      </w:r>
    </w:p>
    <w:p>
      <w:pPr>
        <w:pStyle w:val="Heading2"/>
      </w:pPr>
      <w:r>
        <w:t>Erwägungen</w:t>
      </w:r>
    </w:p>
    <w:p>
      <w:r>
        <w:rPr>
          <w:b/>
        </w:rPr>
        <w:t>E. 4.1</w:t>
      </w:r>
    </w:p>
    <w:p>
      <w:r>
        <w:t>L’appelant a conclu à l’octroi d’une indemnité au sens de l’art. 429 al. 1 let. a CPP de 4'063 fr. 85 pour la procédure de première instance et à ce que les frais de première instance soient laissés à la charge de l’Etat.</w:t>
      </w:r>
    </w:p>
    <w:p>
      <w:r>
        <w:t>- 7 -</w:t>
      </w:r>
    </w:p>
    <w:p>
      <w:r>
        <w:rPr>
          <w:b/>
        </w:rPr>
        <w:t>E. 4.2.1</w:t>
      </w:r>
    </w:p>
    <w:p>
      <w:r>
        <w:t>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du 4 mars 2013 consid. 2.3 ; Mizel/Rétornaz, in : Kuhn/Jeanneret [éd.], op. cit., n. 2 ad art. 426 CPP).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w:t>
      </w:r>
    </w:p>
    <w:p>
      <w:r>
        <w:t>- 8 -</w:t>
      </w:r>
    </w:p>
    <w:p>
      <w:r>
        <w:rPr>
          <w:b/>
        </w:rPr>
        <w:t>E. 4.2.2</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 TF 6B_99/2011 du 13 septembre 2011 consid. 5.1.2 ; Chapuis, in : Kuhn/Jeanneret [éd.], Code de procédure pénale suisse, Commentaire romand, Bâle 2011, n. 2 ad art. 426 CPP). Le fait reproché doit constituer une violation claire de la norme de comportement (ATF 119 Ia 332 consid. 1b ; TF 6B_439/2013 précité consid. 1.1). L'acte répréhensible n'a pas à être commis intentionnellement. La négligence suffit, sans qu'il soit</w:t>
      </w:r>
    </w:p>
    <w:p>
      <w:r>
        <w:t>- 9 -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w:t>
      </w:r>
    </w:p>
    <w:p>
      <w:r>
        <w:rPr>
          <w:b/>
        </w:rPr>
        <w:t>E. 4.3</w:t>
      </w:r>
    </w:p>
    <w:p>
      <w:r>
        <w:t>En l’espèce, l’appelant n’a pas pris toutes les précautions pour éviter qu’J.________ travaille sur le chantier, puisqu’il ne s’est pas assuré qu’J.________ quitte les lieux, alors même qu’il avait connaissance du fait que ce dernier n’était pas en possession d’un titre de séjour. De ce fait, il a violé le devoir de diligence de l’employeur prévu par l’art. 91 al. 1 LEI, qui impose de s’assurer qu’un étranger soit autorisé à exercer une activité lucrative en Suisse en examinant son titre de séjour ou en se renseignant auprès des autorités compétentes avant de l’engager. Le devoir de diligence découlant de l’art. 91 LEI est indépendant de la norme pénale (ATF 141 II 57 consid. 8). L’appelant a donc enfreint une norme administrative, ce qui a provoqué la dénonciation du Service de l’emploi au Ministère public, de sorte qu’il se justifie de mettre les frais de première instance à sa charge, en application de l'art. 426 al. 2 CPP. La mise à la charge de l’appelant des frais de procédure implique le refus de lui allouer une indemnité fondée sur l’art. 429 al. 1 let. a CPP pour la procédure de première instance (cf. art. 430 al. 1 CPP).</w:t>
      </w:r>
    </w:p>
    <w:p>
      <w:r>
        <w:t>- 10 -</w:t>
      </w:r>
    </w:p>
    <w:p>
      <w:r>
        <w:rPr>
          <w:b/>
        </w:rPr>
        <w:t>E. 5.1</w:t>
      </w:r>
    </w:p>
    <w:p>
      <w:r>
        <w:t>Il s’ensuit que l’appel doit être partiellement admis et le jugement modifié en ce sens que O.________ doit être libéré de l’infraction d’emploi d’étranger sans autorisation.</w:t>
      </w:r>
    </w:p>
    <w:p>
      <w:r>
        <w:rPr>
          <w:b/>
        </w:rPr>
        <w:t>E. 5.2</w:t>
      </w:r>
    </w:p>
    <w:p>
      <w:r>
        <w:t>L’appelant a requis l’octroi d’une indemnité de l’art. 429 al. 1 let. a CPP pour la procédure d’appel à hauteur de 2'229 fr. 75. Sur le principe, l’appelant ayant obtenu gain de cause sur son acquittement, l’octroi d’une indemnité de l’art. 429 CPP se justifie pour la procédure d’appel. L’appelant a produit une liste des opérations effectuées par son défenseur de choix (P. 29/1), chiffrant un montant total de 2'229 fr. 75, débours et TVA inclus, et faisant état d’un total de 6 heures et 25 minutes consacrées à la procédure d’appel, comptabilisées au tarif de 320 fr. de l’heure. Le tarif horaire appliqué étant trop élevé, au vu de la nature de la cause, il se justifie d’allouer à l’appelant une indemnité totale de 2'114 fr. 70 (1'925 fr. [6h25 x 300 fr./h] + 38 fr. 50 [2% débours] + 151 fr. 20 [montant correspondant à la TVA]) pour la procédure d’appel. Il y a lieu de compenser, à due concurrence, l’indemnité allouée à l’appelant en application de l’art. 429 CPP avec les frais de la procédure de première instance mis à sa charge.</w:t>
      </w:r>
    </w:p>
    <w:p>
      <w:r>
        <w:rPr>
          <w:b/>
        </w:rPr>
        <w:t>E. 5.3</w:t>
      </w:r>
    </w:p>
    <w:p>
      <w:r>
        <w:t>Vu l’issue de la cause, les frais de la procédure d’appel, constitués en l’espèce du seul émolument de jugement, par 810 fr. (art. 21 al. 1 TFIP [tarif des frais de procédure et indemnités en matière pénale du 28 septembre 2010 ; BLV 312.03.1]), seront laissés à la charge de l’Etat (art. 428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