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PE17.023771 vom 7. November 2018</w:t>
      </w:r>
    </w:p>
    <w:p>
      <w:r>
        <w:t>VD Tribunal cantonal, 2018-11-07, FR</w:t>
      </w:r>
    </w:p>
    <w:p>
      <w:r>
        <w:rPr>
          <w:b/>
        </w:rPr>
        <w:t xml:space="preserve">Quelle: </w:t>
      </w:r>
      <w:r>
        <w:t>https://mcp.opencaselaw.ch/entscheid/vd_gerichte_PE17.023771</w:t>
      </w:r>
    </w:p>
    <w:p>
      <w:r>
        <w:t>FR: VD_GERICHTE PE17.023771 du 7 novembre 2018</w:t>
      </w:r>
    </w:p>
    <w:p>
      <w:r>
        <w:t>IT: VD_GERICHTE PE17.023771 del 7 novembre 2018</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rPr>
          <w:b/>
        </w:rPr>
        <w:t>E. 1.2</w:t>
      </w:r>
    </w:p>
    <w:p>
      <w:r>
        <w:t>- 5 -</w:t>
      </w:r>
    </w:p>
    <w:p>
      <w:r>
        <w:rPr>
          <w:b/>
        </w:rPr>
        <w:t>E. 1.2.1</w:t>
      </w:r>
    </w:p>
    <w:p>
      <w:r>
        <w:t>La recourante fait valoir que la notification était irrégulière et que ce ne serait que le 8 juin 2018 au plus tôt qu’elle aurait eu connaissance de l’ordonnance de non-entrée en matière du 21 février 2018, soit lorsque son conseil a reçu une copie de la décision.</w:t>
      </w:r>
    </w:p>
    <w:p>
      <w:r>
        <w:rPr>
          <w:b/>
        </w:rPr>
        <w:t>E. 1.2.2</w:t>
      </w:r>
    </w:p>
    <w:p>
      <w:r>
        <w:t>Selon l’art. 85 al. 2 CPP, la notification se fait en principe par lettre signature ou par tout autre mode de communication impliquant un accusé de réception, notamment par l’entremise de la police. Selon la jurisprudence, le fardeau de la preuve de la notification et de la date de celle-ci incombe en principe à l'autorité qui entend en tirer une conséquence juridique (ATF 142 IV 125 consid. 4.3 et les réf. cit.). L'autorité supporte donc les conséquences de l'absence de preuve en ce sens que, si la notification ou sa date sont contestées et qu'il existe effectivement un doute à ce sujet, il y a lieu de se fonder sur les déclarations du destinataire de l'envoi. Ainsi en va-t-il lorsque l’autorité notifie une ordonnance pénale par pli simple, soit par un mode de notification qui n’est pas conforme à l’art. 85 al. 2 CPP (ATF 142 IV 125 consid. 4). Une notification irrégulière a généralement pour seule conséquence qu'elle ne doit entraîner aucun préjudice pour son destinataire. Le délai de recours (ou d’opposition) pour attaquer un acte notifié irrégulièrement court dès le jour où le destinataire a pu en prendre connaissance, dans son dispositif et ses motifs (ATF 144 IV 57 consid. 2.3.1 et 2.3.2 ; ATF 139 IV 228 consid. 1.3).</w:t>
      </w:r>
    </w:p>
    <w:p>
      <w:r>
        <w:rPr>
          <w:b/>
        </w:rPr>
        <w:t>E. 1.2.3</w:t>
      </w:r>
    </w:p>
    <w:p>
      <w:r>
        <w:t>En l’occurrence, l’ordonnance de non-entrée en matière attaquée n’a pas été envoyée par courrier recommandé, mais sous pli simple. Le Ministère public n’ayant pas apporté la preuve d’une notification antérieure, on doit ainsi admettre que la remise est intervenue uniquement le 8 juin 2018, date à laquelle le conseil de la recourante a admis avoir reçu le nouvel envoi sous pli simple du 7 juin 2018. Par conséquent, la recourante a interjeté recours en temps utile.</w:t>
      </w:r>
    </w:p>
    <w:p>
      <w:r>
        <w:t>- 6 - Pour le surplus, la partie plaignante ayant agi dans les formes prescrites auprès de l’autorité compétente et ayant qualité pour recourir (art. 382 al. 1 CPP), le recours est recevable.</w:t>
      </w:r>
    </w:p>
    <w:p>
      <w:r>
        <w:rPr>
          <w:b/>
        </w:rPr>
        <w:t>E. 2.1</w:t>
      </w:r>
    </w:p>
    <w:p>
      <w:r>
        <w:t>La recourante fait valoir que, comme la consultation du dossier lui aurait implicitement été refusée, il ne lui serait pas possible de saisir pleinement le raisonnement opéré par la Procureure. Ses droits de procédure et son droit d’accéder au dossier auraient ainsi été violés.</w:t>
      </w:r>
    </w:p>
    <w:p>
      <w:r>
        <w:rPr>
          <w:b/>
        </w:rPr>
        <w:t>E. 2.2</w:t>
      </w:r>
    </w:p>
    <w:p>
      <w:r>
        <w:t>Une partie a le droit d’être entendue et peut à ce titre consulter le dossier (art. 107 al. 1 let. a CPP). L'accès au dossier représente une composante essentielle du droit d’être entendu et des droits de la défense en particulier (Greter/Gisler, Le moment de la consultation du dossier pénal et les restrictions temporaires à son accès, in : Forumpoenale 5/2013, p. 301 ; CREP 7 juillet 2016/456). L'art. 101 al. 1 CPP précise que les parties peuvent consulter le dossier d'une procédure pénale pendante au plus tard après la première audition du prévenu et l'administration des preuves principales par le ministère public, l'art. 108 CPP étant réservé. Hormis pour les motifs prévus à l’art. 108 al. 1 let. a et b CPP (abus par une partie de ses droits ; protection de la sécurité de personnes ou protection d’intérêts publics ou privés au maintien du secret) et sous réserve de l’hypothèse de l’art. 225 al. 2 CPP (consultation du dossier en cas de détention provisoire), le droit de consulter le dossier peut être limité avant la première audition du prévenu et avant l’administration des preuves principales, dès lors qu'une consultation totale et absolue du dossier en début d'enquête peut mettre en péril la recherche de la vérité matérielle (ATF 137 IV 172 consid. 2.3 et les réf. citées). La formulation de l'art. 101 al. 1 CPP est ouverte et permet en théorie une consultation du dossier avant la première audition du prévenu et l'administration des preuves essentielles. Elle confère ainsi à la direction de la procédure un certain pouvoir d'appréciation, qu'il convient de respecter (ATF 137 IV 280</w:t>
      </w:r>
    </w:p>
    <w:p>
      <w:r>
        <w:t>- 7 - consid. 2.3). La consultation du dossier par le prévenu avant sa première audition n'est donc pas garantie par le Code de procédure pénale, même si rien n'empêche la direction de la procédure de l'autoriser, en tout ou en partie, avant cette première audition. Au demeurant, ni le droit constitutionnel ni le droit conventionnel ne garantissent au prévenu ou à son conseil le droit inconditionnel de consulter le dossier de la cause à ce stade de la procédure (ATF 137 IV 172 consid. 2.3 ; CREP 7 juillet 2016/456 consid. 2.2 ; CREP 3 juin 2016/368 consid. 2.2 ; CREP 18 février 2016/121 consid. 3.2).</w:t>
      </w:r>
    </w:p>
    <w:p>
      <w:r>
        <w:rPr>
          <w:b/>
        </w:rPr>
        <w:t>E. 2.3</w:t>
      </w:r>
    </w:p>
    <w:p>
      <w:r>
        <w:t>En l’espèce, la Procureure n’a pas refusé à Me Jean-Samuel Leuba l’autorisation de consulter le dossier, mais lui a simplement indiqué qu’une ordonnance de non-entrée en matière avait été rendue. En outre, une fois la décision reçue à son étude, Me Leuba n’a pas réitéré sa requête de consultation du dossier auprès du Ministère public central. Ce moyen est donc mal fondé.</w:t>
      </w:r>
    </w:p>
    <w:p>
      <w:r>
        <w:rPr>
          <w:b/>
        </w:rPr>
        <w:t>E. 3.1</w:t>
      </w:r>
    </w:p>
    <w:p>
      <w:r>
        <w:t>La recourante fait valoir que le Ministère public central aurait excédé ou abusé de son pouvoir d’appréciation en rendant une ordonnance de non-entrée en matière, alors qu’elle aurait dû ouvrir une enquête pénale. Elle fait grief à la Procureure de ne pas avoir recherché d’office les preuves et de ne pas avoir instruit tous les faits pertinents.</w:t>
      </w:r>
    </w:p>
    <w:p>
      <w:r>
        <w:rPr>
          <w:b/>
        </w:rPr>
        <w:t>E. 3.2.1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w:t>
      </w:r>
    </w:p>
    <w:p>
      <w:r>
        <w:t>- 8 -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w:t>
      </w:r>
    </w:p>
    <w:p>
      <w:r>
        <w:rPr>
          <w:b/>
        </w:rPr>
        <w:t>E. 3.2.2</w:t>
      </w:r>
    </w:p>
    <w:p>
      <w:r>
        <w:t>Aux termes de l'art. 310 al. 1 let. a CPP, une ordonnance de non-entrée en matière est rendue immédiatement – c’est-à-dire sans qu’une instruction soit ouverte (art. 309 al. 1 et 4 CPP ; TF 1B_111/2012 du</w:t>
      </w:r>
    </w:p>
    <w:p>
      <w:r>
        <w:rPr>
          <w:b/>
        </w:rPr>
        <w:t>E. 3.2.3</w:t>
      </w:r>
    </w:p>
    <w:p>
      <w:r>
        <w:t>Selon l’art. 122 CP (Code pénal suisse du 21 décembre 1937 ;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[éd.], Petit commentaire CP, 2e éd., Bâle 2017, n. 13 ad art. 122 CP et les références citées).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w:t>
      </w:r>
    </w:p>
    <w:p>
      <w:r>
        <w:t>- 10 - ans au plus ou d'une peine pécuniaire.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3e éd., Berne 2010, n. 14 ad art. 123 CP ; Dupuis et alii, op. cit., n. 7 ad art. 123 CP). En vertu de l’art. 125 al. 1 CP (Code pénal suisse du 21 décembre 1937 ; RS 311.0), celui qui, par négligence, aura fait subir à une personne une atteinte à l’intégrité corporelle ou à la santé sera, sur plainte, puni d’une peine privative de liberté de trois ans au plus ou d’une peine pécuniaire. L’infraction de lésions corporelles par négligence est réalisée lorsque trois éléments sont réunis, à savoir une négligence commise par l'auteur, une lésion corporelle subie par la victime et un lien de causalité naturelle et adéquate entre la négligence et la lésion (Dupuis et al., Petit commentaire du Code pénal, Bâle 2012, n. 2 ad art. 125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Lorsque des prescriptions légales ou administratives ont été édictées dans un but de prévention des accidents, ou lorsque des règles analogues émanant d'associations</w:t>
      </w:r>
    </w:p>
    <w:p>
      <w:r>
        <w:t>- 11 -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(TF 6B_315/2016 du 1er novembre 2016 consid. 4.1 et les références citées).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consid. 2, JdT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consid. 3.1 ; ATF 124 IV 258 consid. 2, JdT 2001 IV 2). Pour être efficace, le consentement doit être éclairé, ce qui suppose que le praticien renseigne suffisamment le malade pour que celui-ci donne son accord en connaissance de cause (ATF 119 II 456 consid. 2a ; ATF 117 Ib 197 consid. 2a et les arrêts cités).</w:t>
      </w:r>
    </w:p>
    <w:p>
      <w:r>
        <w:t>- 12 -</w:t>
      </w:r>
    </w:p>
    <w:p>
      <w:r>
        <w:rPr>
          <w:b/>
        </w:rPr>
        <w:t>E. 3.3</w:t>
      </w:r>
    </w:p>
    <w:p>
      <w:r>
        <w:t>En l’occurrence, la recourante a énoncé dans sa plainte pénale des faits pouvant tomber théoriquement sous le coup de l’infraction de lésions corporelles par négligence, pour un traitement qui a prétendument eu lieu en août 2016, si l’on en croit la chronologie qu’elle a présenté avec sa plainte (cf. P. 4/5). Manifestement, le délai de trois mois pour déposer une plainte pénale selon l’art. 31 CP était échu lorsque celle-ci a écrit au Ministère public le 11 novembre 2017. Certes, à l’appui de sa chronologie, la recourante faisait valoir qu’elle avait « compris ce qui [était] arrivé à [son] fils » lors d’une émission de télévision sur la cryolipolyse diffusée le 13 juin 2017. Toutefois, à supposer même que le délai de trois mois commence à courir dès le 13 juin 2017, il faudrait constater que le droit de porter plainte était prescrit le 11 novembre 2017. Pour ce premier motif, l’ordonnance de non-entrée en matière était justifiée. Au surplus, il faut de toute manière constater que la recourante se contente d’exposer des généralités sur le devoir du Ministère public d’établir la vérité, mais n’expose pas précisément en quoi le raisonnement de la Procureure serait erroné. Alors que le Ministère public central considère qu’aucune lésion corporelle, même simple, n’est étayée, la recourante ne produit pas, en seconde instance, ni de pièces propres à établir que son fils aurait bien suivi un traitement à la Clinique W.________ et de quel traitement il se serait agi, d’une part, ni que son fils serait dépressif, ni encore moins que le prétendu traitement aurait été suivi d’un épisode dépressif, d’autre part. En outre, la recourante ne produit pas de document, en deuxième instance, susceptible de contrer l’argumentation du Ministère public central sur le fait que son fils n’aurait pas développé, contrairement à ce qu’elle prétend, d’hyperplasie adipeuse paradoxale. A fortiori, l’existence d’un lien de causalité naturelle et adéquate entre les prétendues séquelles et l’intervention qui aurait été réalisée n’est pas non plus rendu vraisemblable, ni même plausible. Par ailleurs, selon l’ordonnance attaquée, l’intervention litigieuse, à savoir la cryolipolyse, ne constituerait pas un acte médical</w:t>
      </w:r>
    </w:p>
    <w:p>
      <w:r>
        <w:t>- 13 - mais relèverait du domaine du bien-être, qui ne serait pas soumis à la surveillance de SwissMedic et ne serait pas réglementé en Suisse. La recourante ne conteste pas cette analyse, ni ne précise quelle règle de prudence aurait été violée lors du prétendu traitement. La recourante ne soutient pas que l’intervention qui aurait été menée sur son fils aurait été administrée contre son gré. Or, la question relative à un consentement libre et éclairé ne se pose que lorsque des lésions ont été constatées. En l’occurrence, comme déjà dit, les prétendues atteintes à la santé psychique et physique de F.________ n’ont pas été du tout objectivées, de sorte que les reproches de la recourante sur un prétendu manque d’information relatif aux contre-indications du traitement tombent à faux. La recourante invoque que la Procureure aurait dû instruire les faits pertinents, mais ne fournit pas les indices minimaux de nature à objectiver ses griefs, ni a fortiori n’indique quelles mesures d’instruction pourraient aboutir. Pour tous ces motifs, à supposer que les faits dénoncés doivent être poursuivis d’office, la commission d’une infraction pénale pouvait être exclue. Par conséquent, en toutes hypothèses, l’ordonnance de non- entrée en matière était justifiée.</w:t>
      </w:r>
    </w:p>
    <w:p>
      <w:r>
        <w:rPr>
          <w:b/>
        </w:rPr>
        <w:t>E. 5</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1’320 fr. (art. 20 al. 1 TFIP [tarif des frais de procédure et indemnités en matière pénale du 28</w:t>
      </w:r>
    </w:p>
    <w:p>
      <w:r>
        <w:t>- 14 - septembre 2010 ; RSV 312.03.1]), seront mis à la charge de la recourante, qui succombe (art. 428 al. 1 CPP). Par ces motifs, la Chambre des recours pénale prononce : I. Le recours est rejeté. II. L’ordonnance du 21 février 2018 est confirmée. III. Les frais d’arrêt, par 1’320 fr. (mille trois cent vingt francs), sont mis à la charge de la recourante C.________. IV. L’arrêt est exécutoire. Le président : La greffière : Du Le présent arrêt, dont la rédaction a été approuvée à huis clos, est notifié, par l'envoi d'une copie complète, à : - Me Jean-Samuel Leuba, avocat (pour C.________),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w:t>
      </w:r>
    </w:p>
    <w:p>
      <w:r>
        <w:t>- 15 -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