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PE17.023564 vom 16. Februar 2018</w:t>
      </w:r>
    </w:p>
    <w:p>
      <w:r>
        <w:t>VD Tribunal cantonal, 2018-02-16, FR</w:t>
      </w:r>
    </w:p>
    <w:p>
      <w:r>
        <w:rPr>
          <w:b/>
        </w:rPr>
        <w:t xml:space="preserve">Quelle: </w:t>
      </w:r>
      <w:r>
        <w:t>https://mcp.opencaselaw.ch/entscheid/vd_gerichte_PE17.023564</w:t>
      </w:r>
    </w:p>
    <w:p>
      <w:r>
        <w:t>FR: VD_GERICHTE PE17.023564 du 16 février 2018</w:t>
      </w:r>
    </w:p>
    <w:p>
      <w:r>
        <w:t>IT: VD_GERICHTE PE17.023564 del 16 febbraio 2018</w:t>
      </w:r>
    </w:p>
    <w:p>
      <w:pPr>
        <w:pStyle w:val="Heading2"/>
      </w:pPr>
      <w:r>
        <w:t>Erwägungen</w:t>
      </w:r>
    </w:p>
    <w:p>
      <w:r>
        <w:rPr>
          <w:b/>
        </w:rPr>
        <w:t>E. 1.1</w:t>
      </w:r>
    </w:p>
    <w:p>
      <w:r>
        <w:t>Le prononcé par lequel un tribunal de première instance statue sur la validité de l'opposition formée par le prévenu contre une ordonnance pénale rendue par une autorité administrative instituée en vue de la poursuite et du jugement des contraventions (cf. l’art. 356 al. 2 CPP [Code de procédure pénale suisse du 5 octobre 2007 ; RS 312] par renvoi de l’art. 357 al. 2 CPP), est susceptible de recours selon les art. 393 ss CPP (Juge unique CREP 31 mars 2017/213 ; Juge unique CREP 24 mars 2017/194 ; Juge unique CREP 7 novembre 2016/748). En l’espèce, le recours a été interjeté en temps utile devant l’autorité compétente par Q.________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du Tribunal cantonal, laquelle statue à trois juges (art. 67 al. 1 let. 1 LOJV [Loi d’organisation judiciaire du 12 décembre 1979 ; RSV 173.01] ; art. 12 al. 1 ROTC [Règlement organique du Tribunal cantonal du 13 novembre 2007 ; RSV 173.31.1]) –, sa direction de la procédure statue seule sur le recours lorsqu’il porte exclusivement sur des contraventions. Tel est le cas en l’espèce, de sorte qu’un juge de la Chambre des recours pénale est compétent pour statuer en tant que juge unique</w:t>
      </w:r>
    </w:p>
    <w:p>
      <w:r>
        <w:t>- 4 - (art. 13 al. 2 LVCPP [Loi d’introduction du Code de procédure pénale suisse du 19 mai 2009 ; RSV 312.01] ; Juge unique CREP 11 décembre 2017/854 ; Juge unique CREP 24 mars 2017/194).</w:t>
      </w:r>
    </w:p>
    <w:p>
      <w:r>
        <w:rPr>
          <w:b/>
        </w:rPr>
        <w:t>E. 2.1.1</w:t>
      </w:r>
    </w:p>
    <w:p>
      <w:r>
        <w:t>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356 al. 2 CPP, le tribunal de première instance – dans le canton de Vaud le tribunal de police (art. 8 al. 1 let. c LVCPP) – statue sur la validité de l'ordonnance pénale et de l'opposition. Si l'opposition a été formée tardivement, le tribunal la déclare irrecevable. Elle est tardive si elle a été adressée à l’autorité après le délai de dix jours prévu par l'art. 354 al. 1 CPP. Sauf disposition contraire du Code de procédure pénale, les communications des autorités pénales sont notifiées en la forme écrite (art. 85 al. 1 CPP). La notification se fait en principe par lettre signature ou par tout autre mode de communication impliquant un accusé de réception, notamment par l’entremise de la police (art. 85 al. 2 CPP). Le prononcé est réputé notifié lorsqu’il a été remis au destinataire, à l’un de ses employés ou à toute personne de plus de seize ans vivant dans le même ménage (art. 85 al. 3 CPP). Le délai de dix jours pour former opposition – qui ne peut être prolongé (cf. art. 89 al. 1 CPP ; Juge unique CREP 24 mars 2017/193 consid. 2.1) – commence à courir le jour qui suit la notification de</w:t>
      </w:r>
    </w:p>
    <w:p>
      <w:r>
        <w:t>- 5 -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2.1.2</w:t>
      </w:r>
    </w:p>
    <w:p>
      <w:r>
        <w:t>Aux termes de l'art. 94 al. 1 CPP, une partie peut demander la restitution du délai si elle a été empêchée de l'observer et qu'elle est de ce fait exposée à un préjudice important et irréparable ; elle doit rendre vraisemblable que le défaut n'est imputable à aucune faute de sa part. Il doit en effet avoir été absolument impossible à la personne concernée de respecter le délai ou de charger un tiers de faire le nécessaire afin de sauvegarder le délai (TF 6B_125/2011 du 7 juillet 2011 consid. 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2e éd., Bâle 2016, n. 5 ad art. 94 CPP).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rPr>
          <w:b/>
        </w:rPr>
        <w:t>E. 2.2</w:t>
      </w:r>
    </w:p>
    <w:p>
      <w:r>
        <w:t>En l’espèce, l’ordonnance pénale du 30 mai 2017 a été adressée sous pli recommandé le 31 mai 2017 à la recourante. Selon l’avis de distribution de la Poste suisse, cette dernière a pris connaissance de cette ordonnance pénale le 1er juin 2017. Le délai de dix jours a commencé à courir le lendemain et est arrivé à échéance le dimanche 11 juin 2017. L’échéance du délai devant être reportée au premier jour utile</w:t>
      </w:r>
    </w:p>
    <w:p>
      <w:r>
        <w:t>- 6 - (art. 90 al. 2 CPP), le dernier jour du délai était donc le lundi 12 juin 2017. La recourante a fait opposition à l’ordonnance pénale en date du 6 août 2017 seulement, en dénonçant le prétendu conducteur de la contravention. Ainsi, la notification étant régulière, l’opposition, formée près de deux mois plus tard, est manifestement tardive. A l’appui de son opposition, la recourante a expliqué avoir été empêchée d’agir dans les délais en raison de problèmes médicaux, notamment une hospitalisation pour deux opérations au cœur. Cependant, malgré les deux lettres adressées par la Commission de police l’invitant à produire des justificatifs à cet égard, Q.________ n’a pas communiqué les documents sollicités afin d’étayer ses explications, alors même qu’il lui appartenait de faire cette démarche et non à la Commission de police de solliciter des pièces couvertes par le secret médical. De même, elle n’a produit aucune attestation médicale à l’appui de son recours démontrant son empêchement. Dans ces circonstances, la recourante ne saurait se voir accorder la restitution du délai pour former opposition. Par conséquent, c’est à juste titre que le Tribunal de police a déclaré irrecevable l’opposition formée par Q.________ contre l’ordonnance pénale du 30 mai 2017. Au surplus, on relèvera que Q.________ conserve la possibilité de payer l’amende et les frais de procédure, ce qui entrainera une réduction proportionnelle de la peine privative de liberté de substitution qu’elle est censée devoir exécuter (art. 106 al. 4 CP [Code pénal suisse du 21 décembre 1937 ; RS 311.0]).</w:t>
      </w:r>
    </w:p>
    <w:p>
      <w:r>
        <w:rPr>
          <w:b/>
        </w:rPr>
        <w:t>E. 3</w:t>
      </w:r>
    </w:p>
    <w:p>
      <w:r>
        <w:t>En définitive, le recours, manifestement mal fondé, doit être rejeté sans autre échange d’écritures (art. 390 al. 2 CPP) et le prononcé du</w:t>
      </w:r>
    </w:p>
    <w:p>
      <w:r>
        <w:rPr>
          <w:b/>
        </w:rPr>
        <w:t>E. 6</w:t>
      </w:r>
    </w:p>
    <w:p>
      <w:r>
        <w:t>décembre 2017 confirmé. Les frais de la procédure de recours, constitués en l'espèce du seul émolument d’arrêt, par 540 fr. (art. 20 al. 1 TFIP [Tarif des frais de procédure et indemnités en matière pénale du 28 septembre 2010 ; RSV</w:t>
      </w:r>
    </w:p>
    <w:p>
      <w:r>
        <w:t>- 7 - 312.03.1]), seront mis à la charge de la recourante, qui succombe (art. 428 al. 1 CPP). Par ces motifs, le juge unique prononce : I. Le recours est rejeté. II. Le prononcé du 6 décembre 2017 est confirmé. III. Les frais d’arrêt, par 540 fr. (cinq cent quarante francs), sont mis à la charge de Q.________ IV. L’arrêt est exécutoire. Le juge unique : Le greffier : Du Le présent arrêt, dont la rédaction a été approuvée à huis clos, est notifié, par l'envoi d'une copie complète, à : - Mme Q.________, - Ministère public central, et communiqué à : - M. le Président du Tribunal de police de l’arrondissement de Lausanne, - Commission de police de Lausanne,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