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PE17.023027 vom 28. Februar 2018</w:t>
      </w:r>
    </w:p>
    <w:p>
      <w:r>
        <w:t>VD Tribunal cantonal, 2018-02-28, FR</w:t>
      </w:r>
    </w:p>
    <w:p>
      <w:r>
        <w:rPr>
          <w:b/>
        </w:rPr>
        <w:t xml:space="preserve">Quelle: </w:t>
      </w:r>
      <w:r>
        <w:t>https://mcp.opencaselaw.ch/entscheid/vd_gerichte_PE17.023027</w:t>
      </w:r>
    </w:p>
    <w:p>
      <w:r>
        <w:t>FR: VD_GERICHTE PE17.023027 du 28 février 2018</w:t>
      </w:r>
    </w:p>
    <w:p>
      <w:r>
        <w:t>IT: VD_GERICHTE PE17.023027 del 28 febbraio 2018</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septembre 1979 ; RSV 173.01]). Interjeté en temps utile devant l’autorité compétente et satisfaisant aux conditions de forme posées par l’art. 385 al. 1 CPP, le recours de P.________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2.1</w:t>
      </w:r>
    </w:p>
    <w:p>
      <w:r>
        <w:t>- 5 -</w:t>
      </w:r>
    </w:p>
    <w:p>
      <w:r>
        <w:rPr>
          <w:b/>
        </w:rPr>
        <w:t>E. 2.1.1</w:t>
      </w:r>
    </w:p>
    <w:p>
      <w:r>
        <w:t>La mise en détention provisoire n’est ainsi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TF 1B_39/2014 du 11 février 2014 consid. 2.2).</w:t>
      </w:r>
    </w:p>
    <w:p>
      <w:r>
        <w:rPr>
          <w:b/>
        </w:rPr>
        <w:t>E. 2.1.2</w:t>
      </w:r>
    </w:p>
    <w:p>
      <w:r>
        <w:t>En l’espèce, le recourant ne conteste pas, à juste titre, l’existence de sérieux indices de culpabilité à son encontre, relevant même que contrairement à ce que laisse entendre l’ordonnance attaquée – qui parle de deux cas admis –, il a reconnu tous les cas de vol qui lui sont reprochés, y compris ceux commis dans le canton de Neuchâtel.</w:t>
      </w:r>
    </w:p>
    <w:p>
      <w:r>
        <w:rPr>
          <w:b/>
        </w:rPr>
        <w:t>E. 2.2</w:t>
      </w:r>
    </w:p>
    <w:p>
      <w:r>
        <w:t>Le premier juge se fonde sur un risque de fuite pour ordonner le maintien de P.________ en détention. Le recourant conteste l’existence de ce risque, soutenant qu’il ne serait pas en situation irrégulière en Suisse et que rien n’indiquerait qu’il y ait lieu de retenir un risque de fuite particulier.</w:t>
      </w:r>
    </w:p>
    <w:p>
      <w:r>
        <w:rPr>
          <w:b/>
        </w:rPr>
        <w:t>E. 2.2.1</w:t>
      </w:r>
    </w:p>
    <w:p>
      <w:r>
        <w:t>Selon la jurisprudence, le risque de fuite au sens de l'art. 221 al. 1 let. a CPP doit s'analyser en fonction d'un ensemble de critères tels que le caractère de l'intéressé, sa moralité, ses ressources, ses liens</w:t>
      </w:r>
    </w:p>
    <w:p>
      <w:r>
        <w:t>- 6 -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En l’espèce, au vu des faits qui sont reprochés au prévenu et de la peine susceptible d'être prononcée en cas de condamnation, la réalisation du risque de fuite, ou à tout le moins celui de le voir tomber dans la clandestinité pour se soustraire aux poursuites pénales, est non seulement possible, mais également probable, le recourant, ressortissant géorgien sans domicile connu et sans ressources financières, n’ayant aucune espèce d’attache en Suisse. Par ailleurs, contrairement à ce que soutient le prévenu, aucune mesure de substitution n'est susceptible de prévenir valablement le risque redouté. En effet, comme l’a relevé le premier juge, le dépôt des papiers d'identité n'est pas de nature à éviter une fuite dans le cas d'espèce, au vu de la facilité à franchir les frontières intra-européennes par la voie terrestre, même sans passeport. Quant à l'obligation de se présenter régulièrement à un service administratif, elle permet tout au plus de constater une fuite, mais pas de la prévenir, étant rappelé que le prévenu n'a aucun domicile en Suisse, ni ressource financière.</w:t>
      </w:r>
    </w:p>
    <w:p>
      <w:r>
        <w:rPr>
          <w:b/>
        </w:rPr>
        <w:t>E. 2.2.2</w:t>
      </w:r>
    </w:p>
    <w:p>
      <w:r>
        <w:t>Les conditions de l’art. 221 al. 1 CPP sont alternatives (TF 1B_249/2011 du 7 juin 2011 consid. 2.4) mais peuvent être cumulées (Moreillon/Parein-Reymond, Code de procédure pénale, Petit commentaire, 2e éd. Bâle 2017, n. 7 ad art. 221 CPP). L’existence du risque de fuite étant retenu dans le cas particulier, il n’est pas nécessaire d’examiner plus avant si, comme l’a indiqué le Ministère public, il existerait également un risque de réitération.</w:t>
      </w:r>
    </w:p>
    <w:p>
      <w:r>
        <w:t>- 7 -</w:t>
      </w:r>
    </w:p>
    <w:p>
      <w:r>
        <w:rPr>
          <w:b/>
        </w:rPr>
        <w:t>E. 2.3</w:t>
      </w:r>
    </w:p>
    <w:p>
      <w:r>
        <w:t>Reste enfin à déterminer si la détention provisoire est conforme au principe de la proportionnalité (art. 212 al. 3 CPP), ce que le recourant conteste, faisant valoir que, dès lors qu’il dispose d’un casier judiciaire vierge en Suisse, il ne s’exposerait qu’au prononcé d’une peine assortie du sursis. L’examen de la proportionnalité de la durée de la détention doit se faire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139 IV 270 consid. 3.1 et les arrêts cités). En l’espèce, le recourant est détenu depuis le 23 novembre 2017. Compte tenu des infractions qui font l’objet de l’instruction, il s'expose sans nul doute à une peine d’une durée supérieure aux quelque trois mois de détention provisoire subis à ce jour. Au demeurant, comme exposé ci-dessus, la possibilité que la peine à intervenir soit assortie d’un sursis, voire d’un sursis partiel, n’a en principe pas à être prise en considération dans l’examen de la proportionnalité de la détention provisoire. Il convient en outre de souligner à cet égard que le fait que le casier judiciaire suisse du recourant soit vierge ne signifie pas qu’il bénéficiera automatiquement du sursis à l’exécution de la peine, les délinquants ne pouvant pas s’attendre systématiquement à bénéficier de l’octroi du sursis en cas de première condamnation (CREP 22 juin 2012/326 consid. 2b ; cf. Dupuis et al. (éd.), Petit commentaire du code pénal, 2e éd. Bâle 2017, n. 26 ad art. 42 CP). C’est donc en vain que le recourant se plaint d’une violation du principe de la proportionnalité. Comme l’a relevé le Tribunal des mesures</w:t>
      </w:r>
    </w:p>
    <w:p>
      <w:r>
        <w:t>- 8 - de contrainte, la durée de la détention provisoire demeure proportionnée au vu des faits reprochés et de la peine susceptible d'être prononcée en cas de condamnation. Les mesures d’instruction suivent au demeurant normalement leur cours.</w:t>
      </w:r>
    </w:p>
    <w:p>
      <w:r>
        <w:rPr>
          <w:b/>
        </w:rPr>
        <w:t>E. 3</w:t>
      </w:r>
    </w:p>
    <w:p>
      <w:r>
        <w:t>Il résulte de ce qui précède que le recours, manifestement mal fondé, doit être rejeté sans autres échanges d’écritures (art. 390 al. 2 CPP) et l’ordonnance du 15 février 2018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de P.________,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15 février 2018 est confirmée. III. L’indemnité allouée au défenseur d’office de P.________ est fixée à 581 fr. 60 (cinq cent huitante et un francs et soixante centimes). IV. Les frais d’arrêt, par 880 fr. (huit cent huitante francs), ainsi que l’indemnité allouée à son défenseur d’office, par 581 fr. 60 (cinq cent huitante et un francs et soixante centimes), sont mis à la charge de P.________.</w:t>
      </w:r>
    </w:p>
    <w:p>
      <w:r>
        <w:t>- 9 - V. Le remboursement à l'Etat de l'indemnité allouée au chiffre III ci-dessus sera exigible pour autant que la situation économique de P.________ le permette. VI. L’arrêt est exécutoire. Le président : La greffière : Du Le présent arrêt, dont la rédaction a été approuvée à huis clos, est notifié, par l'envoi d'une copie complète, à : - Me Alexandre Saillet, avocat (pour P.________), - Ministère public central, et communiqué à : - Mme la Présidente du Tribunal des mesures de contrainte, - Mme la Procureure de l’arrondissement du Nord vaudois, - Prison du Bois-Mermet,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- 10 -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