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PE17.022977 vom 23. Juli 2018</w:t>
      </w:r>
    </w:p>
    <w:p>
      <w:r>
        <w:t>VD Tribunal cantonal, 2018-07-23, FR</w:t>
      </w:r>
    </w:p>
    <w:p>
      <w:r>
        <w:rPr>
          <w:b/>
        </w:rPr>
        <w:t xml:space="preserve">Quelle: </w:t>
      </w:r>
      <w:r>
        <w:t>https://mcp.opencaselaw.ch/entscheid/vd_gerichte_PE17.022977</w:t>
      </w:r>
    </w:p>
    <w:p>
      <w:r>
        <w:t>FR: VD_GERICHTE PE17.022977 du 23 juillet 2018</w:t>
      </w:r>
    </w:p>
    <w:p>
      <w:r>
        <w:t>IT: VD_GERICHTE PE17.022977 del 23 luglio 2018</w:t>
      </w:r>
    </w:p>
    <w:p>
      <w:pPr>
        <w:pStyle w:val="Heading2"/>
      </w:pPr>
      <w:r>
        <w:t>Erwägungen</w:t>
      </w:r>
    </w:p>
    <w:p>
      <w:r>
        <w:rPr>
          <w:b/>
        </w:rPr>
        <w:t>E. 1.1</w:t>
      </w:r>
    </w:p>
    <w:p>
      <w:r>
        <w:t>Les parties peuvent attaquer une ordonnance de non-entrée en matière rendue par le Ministère public dans les dix jours devant l’autorité de recours (art. 310 al. 2, 322 al. 2 CPP [Code de procédure pénale suisse du 5 octobre 2007 ; RS 312.0];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t>- 5 -</w:t>
      </w:r>
    </w:p>
    <w:p>
      <w:r>
        <w:rPr>
          <w:b/>
        </w:rPr>
        <w:t>E. 1.2</w:t>
      </w:r>
    </w:p>
    <w:p>
      <w:r>
        <w:t>Interjeté dans le délai légal auprès de l’autorité compétente et dans les formes prescrites (art. 385 CPP) par la plaignante qui a qualité pour recourir (art. 382 al. 1 CPP), le recours déposé le 30 avril 2018 est recevable. En revanche, le complément de plainte déposé le 18 juin 2018 pour la contrainte (art. 181 CP) et les menaces (art. 180 CP), lié au recouvrement dont la plaignante a fait l’objet, est irrecevable. En effet, ce complément devait être adressé au Ministère public (art. 304 al. 1 CPP) et non à la présente autorité de recours.</w:t>
      </w:r>
    </w:p>
    <w:p>
      <w:r>
        <w:rPr>
          <w:b/>
        </w:rPr>
        <w:t>E. 2.1</w:t>
      </w:r>
    </w:p>
    <w:p>
      <w:r>
        <w:t>La recourante fait d’abord valoir que c’est à tort que les autorités de poursuites pénales vaudoises se sont saisies de cette affaire. Le for serait en Argovie et il ne serait pas possible de la soumettre aux autorités d’un canton dont elle ne maîtrise pas la langue de procédure.</w:t>
      </w:r>
    </w:p>
    <w:p>
      <w:r>
        <w:rPr>
          <w:b/>
        </w:rPr>
        <w:t>E. 2.2</w:t>
      </w:r>
    </w:p>
    <w:p>
      <w:r>
        <w:t>Selon l’art. 31 al. 1 CPP, l’autorité du lieu où l’acte a été commis est en principe compétente pour la poursuite et le jugement de l’infraction. C’est donc le lieu de la commission de l’infraction, soit à l’endroit où se trouve l’auteur lorsqu’il commet l’infraction, qui est déterminant. La règle s’applique aussi bien aux conflits intercantonaux qu’intracantonaux. Pour les délits informatiques, le lieu de l’acte s’envisage comme l’endroit où les données sont introduites dans un ordinateur et, lorsque l’infraction est commise par le biais d’Internet, comme le lieu où se trouve l’ordinateur connecté au réseau (Moreillon/Parein-Reymond, Petit Commentaire du Code de procédure pénale, 2ème éd., Bâle 2016, n. 3 ss ad art. 31 CPP). Aux termes de l’art. 41 al. 1 CPP, lorsqu'une partie entend contester la compétence de l'autorité en charge de la procédure pénale, elle doit immédiatement demander à cette dernière de transmettre l'affaire à l'autorité pénale compétente.</w:t>
      </w:r>
    </w:p>
    <w:p>
      <w:r>
        <w:t>- 6 -</w:t>
      </w:r>
    </w:p>
    <w:p>
      <w:r>
        <w:rPr>
          <w:b/>
        </w:rPr>
        <w:t>E. 2.3</w:t>
      </w:r>
    </w:p>
    <w:p>
      <w:r>
        <w:t>En l’espèce, la société Q.________ a son siège social dans le canton de Vaud, à [...] (P. 3) depuis l’année 2009. Il apparaît ainsi que l’option Go Europe litigieuse a été publiée sur Internet depuis le siège de la société. Dès lors, les autorités des poursuites pénales du canton de Vaud sont compétentes pour traiter la présente affaire. Au demeurant, il apparaît qu’au 5 avril 2018, au plus tard, la recourante a eu connaissance de l’attribution du for décidée par les ministères publics des cantons de Vaud et d’Argovie (P. 7). Elle n’a toutefois pas fait valoir immédiatement qu’elle contestait le for. Son grief formulé dans l’acte de recours du 30 avril 2018 paraît dès lors tardif.</w:t>
      </w:r>
    </w:p>
    <w:p>
      <w:r>
        <w:rPr>
          <w:b/>
        </w:rPr>
        <w:t>E. 3.1</w:t>
      </w:r>
    </w:p>
    <w:p>
      <w:r>
        <w:t>La recourante soutient que c’est à tort que le Ministère public a rendu une ordonnance de non-entrée en matière.</w:t>
      </w:r>
    </w:p>
    <w:p>
      <w:r>
        <w:rPr>
          <w:b/>
        </w:rPr>
        <w:t>E. 3.2.1</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 Une ordonnance de non-entrée en matière sera rendue dans les cas où il apparaît d’emblée qu’aucun acte d’enquête ne pourra apporter la preuve d’une infraction à la charge d’une personne déterminée (cf. TF 1B_67/2012 du 29 mai 2012 consid. 3.2).</w:t>
      </w:r>
    </w:p>
    <w:p>
      <w:r>
        <w:t>- 7 -</w:t>
      </w:r>
    </w:p>
    <w:p>
      <w:r>
        <w:rPr>
          <w:b/>
        </w:rPr>
        <w:t>E. 3.2.2</w:t>
      </w:r>
    </w:p>
    <w:p>
      <w:r>
        <w:t>L'art. 23 LCD (loi fédérale du 19 décembre 1986 contre la concurrence déloyale ; RS 241) dispose que quiconque, intentionnellement, se rend coupable de concurrence déloyale au sens des art. 3, 4, 4a, 5 ou 6 LCD est, sur plainte, puni d'une peine privative de liberté de trois ans au plus ou d'une peine pécuniaire (al. 1). Peut porter plainte celui qui a qualité pour intenter une action civile selon les art. 9 et 10 (al. 2). Les clients peuvent intenter l’une des actions prévues par l’art. 9 LCD lorsque leurs intérêts économiques sont menacés ou lésés par un acte de concurrence déloyale (art. 10 al. 1 LCD). Selon l'art. 3 al. 1 let. b LCD, agit de façon déloyale celui qui donne des indications inexactes ou fallacieuses notamment sur ses prestations, ses prix, ou ses affaires ou qui, par de telles allégations, avantage des tiers par rapport à leurs concurrents. Les affirmations objectivement inexactes ne sont pas les seules que réprime la loi contre la concurrence déloyale. Il peut s’agir certes d’indications clairement erronées, mais il peut s’agir aussi d’indications qui sont fallacieuses parce que le public les met en rapport avec des activités ou des mérites qui n’en sont point. Pour tomber sous le coup de l’art. 3 let. b LCD, encore faut-il que les indications en cause soient propres à influencer la décision du client.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 Dessemontet, La propriété intellectuelle et les contrats de licence, p. 538 et les réf. citées). En raison de leur imprécision, les dispositions pénales de la LCD doivent être interprétées restrictivement (cf TF 6B_156/2012 du 11 octobre 2012 consid. 1.2).</w:t>
      </w:r>
    </w:p>
    <w:p>
      <w:r>
        <w:rPr>
          <w:b/>
        </w:rPr>
        <w:t>E. 3.3</w:t>
      </w:r>
    </w:p>
    <w:p>
      <w:r>
        <w:t>La recourante fait valoir que même si l’option en cause était valable dans 99% des pays européens, elle ne devrait pas s’appeler GO Europe, dès lors que certains pays européens en seraient toujours exclus. Cet argument n’est pas convaincant. Comme le relève la Procureure à juste titre, l’option n’a rien de trompeur dans la mesure où une bonne partie des pays européens sont concernés. Certes, l’indication</w:t>
      </w:r>
    </w:p>
    <w:p>
      <w:r>
        <w:t>- 8 - géographique éveille dans l’esprit d’un consommateur moyen que l’option est valable en Europe. Celui-ci ne s’attend toutefois pas à ce qu’une telle offre soit valable dans tous les pays européens, sans exception. La recourante soutient encore que si l’offre stipule que le consommateur doit lire les « conditions liées », seules les zones seraient indiquées dans ces liens et ceux-ci ne contiendraient pas d’informations spécifiques et supplémentaires pour l’offre. Cet argument tombe également à faux. L’offre litigieuse était applicable dans 39 pays européens, mais pas la Serbie, en raison de l’instauration de zones de couverture. La lecture des liens permettait de déterminer quels pays se trouvaient dans quelle zone. En suivant le lien, le consommateur était en outre en mesure de connaître de manière claire et détaillée les différents tarifs applicables dans chaque pays. Que la plaignante ait eu de la peine à comprendre l’offre sur la présentation de l’opérateur est possible, mais ne change rien à l’absence de tromperie. Enfin, pour la recourante, l’indication « avec une sécurité totale des coûts » serait mensongère dans la mesure où le consommateur recevrait le message relatif aux coûts d’une connexion après s’être connecté. A juste titre, la Procureure relève que cette indication ne concernait pas la recourante lors de son séjour en Serbie. Il est ainsi douteux que la recourante puisse avoir la qualité de porter plainte et de recourir s’agissant d’un acte qui ne pouvait pas la léser (cf. art. 10 al. 1 LCD). Au demeurant, comme on l’a dit, la lecture des liens donnait des indications sur les tarifs applicables, ce qui était de nature à procurer une certaine sécurité des coûts, indépendamment du message que l’opérateur envoyait après la connexion. Au vu de ce qui précède, il se justifiait de rendre une ordonnance de non-entrée en matière.</w:t>
      </w:r>
    </w:p>
    <w:p>
      <w:r>
        <w:rPr>
          <w:b/>
        </w:rPr>
        <w:t>E. 4</w:t>
      </w:r>
    </w:p>
    <w:p>
      <w:r>
        <w:t>Une telle ordonnance pouvait être rendue sans entendre la partie intimée Q.________. Contrairement à ce que soutient la recourante, les éléments au dossier étaient suffisants pour statuer et l’audition de</w:t>
      </w:r>
    </w:p>
    <w:p>
      <w:r>
        <w:t>- 9 - l’intimée, qui n’était d’ailleurs pas tenue de déposer (cf. art. 180 al. 1 CPP), n’aurait rien apporté.</w:t>
      </w:r>
    </w:p>
    <w:p>
      <w:r>
        <w:rPr>
          <w:b/>
        </w:rPr>
        <w:t>E. 5</w:t>
      </w:r>
    </w:p>
    <w:p>
      <w:r>
        <w:t>En définitive, le recours, manifestement mal fondé, doit être rejeté dans la mesure où il est recevable,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17 avril 2018 est confirmée. III. Les frais de la procédure de recours, par 880 fr. (huit cent huitante francs), sont mis à la charge de P.________. IV. L’arrêt est exécutoire. Le président : La greffière : Du Le présent arrêt, dont la rédaction a été approuvée à huis clos, est notifié, par l'envoi d'une copie complète, à : - P.________,</w:t>
      </w:r>
    </w:p>
    <w:p>
      <w:r>
        <w:t>- 10 -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