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PE17.022836 vom 9. Mai 2018</w:t>
      </w:r>
    </w:p>
    <w:p>
      <w:r>
        <w:t>VD Tribunal cantonal, 2018-05-09, FR</w:t>
      </w:r>
    </w:p>
    <w:p>
      <w:r>
        <w:rPr>
          <w:b/>
        </w:rPr>
        <w:t xml:space="preserve">Quelle: </w:t>
      </w:r>
      <w:r>
        <w:t>https://mcp.opencaselaw.ch/entscheid/vd_gerichte_PE17.022836</w:t>
      </w:r>
    </w:p>
    <w:p>
      <w:r>
        <w:t>FR: VD_GERICHTE PE17.022836 du 9 mai 2018</w:t>
      </w:r>
    </w:p>
    <w:p>
      <w:r>
        <w:t>IT: VD_GERICHTE PE17.022836 del 9 maggio 2018</w:t>
      </w:r>
    </w:p>
    <w:p>
      <w:pPr>
        <w:pStyle w:val="Heading2"/>
      </w:pPr>
      <w:r>
        <w:t>Erwägungen</w:t>
      </w:r>
    </w:p>
    <w:p>
      <w:r>
        <w:rPr>
          <w:b/>
        </w:rPr>
        <w:t>E. 1.1</w:t>
      </w:r>
    </w:p>
    <w:p>
      <w:r>
        <w:t>Les parties peuvent attaquer une décision rendue par l’autorité pénale compétente en matière de contraventions (art. 393 al. 1 let. a CPP [Code de procédure pénale suisse du 5 octobre 2007 ; RS 312.0] et art. 3 al. 2 LVCPP [loi d’introduction du Code de procédure pénale suisse du 19 mai 2009 ; RSV 312.01]) – en l'occurrence par l'autorité municipale selon la loi sur les contraventions du 19 mai 2009 (LContr ; RSV 312.11) – dans les dix jours devant l’autorité de recours (art. 20 al. 1 let. b et 396 al. 1 CPP).</w:t>
      </w:r>
    </w:p>
    <w:p>
      <w:r>
        <w:t>- 4 -</w:t>
      </w:r>
    </w:p>
    <w:p>
      <w:r>
        <w:rPr>
          <w:b/>
        </w:rPr>
        <w:t>E. 1.2</w:t>
      </w:r>
    </w:p>
    <w:p>
      <w:r>
        <w:t>En l’espèce, déposé en temps utile devant l’autorité compétente par une partie qui a qualité pour recourir (art. 382 al. 1 CPP) et dans les formes prescrites (art. 385 al. 1 CPP), le recours est recevable.</w:t>
      </w:r>
    </w:p>
    <w:p>
      <w:r>
        <w:rPr>
          <w:b/>
        </w:rPr>
        <w:t>E. 1.3</w:t>
      </w:r>
    </w:p>
    <w:p>
      <w:r>
        <w:t>Dès lors que le recours porte uniquement sur des contraventions, un juge de la Cour de céans statue comme juge unique (art. 395 let. a CPP et 13 al. 2 LVCPP ; Juge unique CREP 16 août 2017/564 consid. 1). S’agissant d’une même problématique, le recours dirigé contre les trois décisions du 22 août 2017 sera examiné dans un même arrêt.</w:t>
      </w:r>
    </w:p>
    <w:p>
      <w:r>
        <w:rPr>
          <w:b/>
        </w:rPr>
        <w:t>E. 2.1</w:t>
      </w:r>
    </w:p>
    <w:p>
      <w:r>
        <w:t>La recourante soutient qu'elle n'a jamais reçu de rappels des amendes, de sorte qu'elle n'a jamais pu communiquer les noms et adresses des contrevenants avant de recevoir les trois ordonnances pénales du 11 décembre 2015. Ainsi, dans la mesure où elle a dû mandater un avocat pour les trois procédures d'opposition contre ces ordonnances, elle considère qu'elle a droit à une indemnité au sens de l'art. 429 al. 1 let. a CPP.</w:t>
      </w:r>
    </w:p>
    <w:p>
      <w:r>
        <w:rPr>
          <w:b/>
        </w:rPr>
        <w:t>E. 2.2.1</w:t>
      </w:r>
    </w:p>
    <w:p>
      <w:r>
        <w:t>Selon l'art. 429 al. 1 let. a CPP,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p. 1312 ch. 2.10.3.1).</w:t>
      </w:r>
    </w:p>
    <w:p>
      <w:r>
        <w:t>- 5 -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JdT 2013 IV 184 ; TF 6B_237/2016 du 18 juillet 2016).</w:t>
      </w:r>
    </w:p>
    <w:p>
      <w:r>
        <w:rPr>
          <w:b/>
        </w:rPr>
        <w:t>E. 2.2.2</w:t>
      </w:r>
    </w:p>
    <w:p>
      <w:r>
        <w:t>Aux termes de l'art. 6 LAO (loi sur les amendes d’ordre du 24 juin 1970 ; RS 741.03), si l'auteur d'une infraction est inconnu, l'amende est infligée au détenteur du véhicule mentionné dans le permis de circulation (al. 1). Le détenteur est informé de l'amende par écrit. Il peut la payer dans les 30 jours (al. 2). S'il ne paie pas l'amende dans le délai prescrit, la procédure ordinaire est engagée (al. 3). Si le détenteur indique le nom et l'adresse du conducteur du véhicule au moment de l'infraction, la procédure prévue aux al. 2 et 3 est engagée contre ce dernier (al. 4). Si le conducteur du véhicule ne peut être déterminé sans efforts disproportionnés, l'amende doit être payée par le détenteur, à moins qu'il puisse établir de manière crédible, lors de la procédure ordinaire, que son véhicule a été utilisé contre sa volonté et qu'il n'a pu l'empêcher bien qu'ayant fait preuve de la diligence nécessaire (al. 5).</w:t>
      </w:r>
    </w:p>
    <w:p>
      <w:r>
        <w:rPr>
          <w:b/>
        </w:rPr>
        <w:t>E. 2.2.3</w:t>
      </w:r>
    </w:p>
    <w:p>
      <w:r>
        <w:t>Selon la jurisprudence, la procédure consistant à rendre directement une ordonnance pénale à l’encontre du détenteur, sans l’avoir au préalable mis en situation de faire connaître l’identité du véritable conducteur, contrevient à l’art. 6 LAO (TF 6B_1103/2016 du 2 mars 2016</w:t>
      </w:r>
    </w:p>
    <w:p>
      <w:r>
        <w:t>- 6 - consid. 2.3). Le Tribunal fédéral considère comme raisonnable qu'une société de location de voitures mandate un avocat et obtienne une indemnité pour ses frais de défense lorsqu'elle a fait l'objet d'une ordonnance pénale sans avoir pu communiquer auparavant le nom du conducteur, car la société de location de voitures est susceptible de faire l'objet chaque année de nombreuses amendes pour des infractions commises par des clients dans toute la Suisse (TF 6B_1103/2015 du 2 mars 2016 consid. 2.3, JdT 2016 III 178 ; TF 6B_880/2015 du 8 décembre 2015 consid. 1.4.3).</w:t>
      </w:r>
    </w:p>
    <w:p>
      <w:r>
        <w:rPr>
          <w:b/>
        </w:rPr>
        <w:t>E. 2.3</w:t>
      </w:r>
    </w:p>
    <w:p>
      <w:r>
        <w:t>En l'espèce, l'autorité intimée soutient qu'elle a envoyé les rappels des amendes d'ordre à la recourante par trois plis simples du 29 octobre 2015, comme cela ressort de l'écran informatique du suivi des dossiers. Cela n'est pas suffisant pour retenir que la société de location de voitures a reçu les trois rappels, puisque le fardeau de la preuve de la réception de ces rappels incombe à l'autorité (ATF 142 IV 125). Il y a donc lieu de se fonder sur les déclarations de la recourante qui affirme qu'elle n'a jamais reçu les trois rappels. Vu ce qui précède, force est de constater qu'en n'ayant jamais reçu les trois rappels, la société de location de voitures n'a jamais eu connaissance des amendes, respectivement n'a jamais eu la possibilité d'indiquer les noms et adresses des trois conducteurs fautifs avant de recevoir les trois ordonnances pénales du 11 décembre 2015, afin que la procédure puisse être engagée contre ces derniers et non contre elle. C'est par conséquent en violation de l'art. 6 LAO que la Commission de Police Riviera a adressé les trois ordonnances pénales à la recourante, ce qui a contraint cette dernière à mandater un avocat afin de défendre ses intérêts dans les trois procédures d'opposition. Conformément à la jurisprudence fédérale rendue en la matière (cf. supra, consid. 2.2.3), la société de location de voitures a droit à une indemnité au sens de l'art. 429 al. 1 let. a CPP. Pour le surplus, on notera que la Commission de Police Riviera n'a jamais rendu d'ordonnances de classement à la suite des oppositions formées par la recourante contre les trois ordonnances pénales du 11 décembre 2015.</w:t>
      </w:r>
    </w:p>
    <w:p>
      <w:r>
        <w:t>- 7 -</w:t>
      </w:r>
    </w:p>
    <w:p>
      <w:r>
        <w:rPr>
          <w:b/>
        </w:rPr>
        <w:t>E. 3</w:t>
      </w:r>
    </w:p>
    <w:p>
      <w:r>
        <w:t>La recourante sollicite l'allocation du montant de 1'373 fr. 81 pour les frais engagés par les trois procédures d'opposition, soit 1'235 fr. pour les honoraires, 37 fr. 05 pour les débours et 101 fr. 76 pour la TVA. L'avocate de la recourante indique qu'elle a consacré 3,8 heures de travail à la procédure de première instance, ce qui correspond au tarif horaire de 325 francs. Il faut toutefois tenir compte du fait que l'avocate de la recourante est intervenue plusieurs fois dans des procédures similaires et donc bien connues (Juge unique CREP 19 octobre 2017/711 ; Juge unique CREP 19 mai 2016/333 ; Juge unique CREP 25 août 2015/571) et de la brièveté des trois oppositions, dont le contenu est par ailleurs le même. Pour ces motifs, il y a lieu de retenir 1h30 de travail au tarif horaire de 300 fr. (art. 26a al. 3 TFIP [tarif des frais de procédure et indemnités en matière pénale du 28 septembre 2010 ; RSV 312.03.1]), soit 450 francs. A cela s'ajoutent les débours par 37 fr. 05 et la TVA par</w:t>
      </w:r>
    </w:p>
    <w:p>
      <w:r>
        <w:rPr>
          <w:b/>
        </w:rPr>
        <w:t>E. 8</w:t>
      </w:r>
    </w:p>
    <w:p>
      <w:r>
        <w:t>%, ce qui correspond au montant total de 526 francs. 4. En définitive, le recours doit être partiellement admis et la décision du 22 août 2017 réformée en ce sens qu'une indemnité de 526 fr., TVA et débours compris, est allouée à la recourante pour l’exercice de ses droits pour la procédure de première instance, à la charge de l’Etat. Les frais de la procédure de recours, par 720 fr. (art. 422 al. 1 CPP et 20 al. 1 TFIP), seront laissés à la charge de l’Etat. La recourante, qui a procédé avec l’assistance d'un conseil de choix et qui a obtenu gain de cause sur l’essentiel, a droit à une indemnité pour les dépenses occasionnées par la procédure de recours (429 al. 1 CPP par renvoi de l'art. 436 al. 1 CPP). Au vu de la brièveté du mémoire de recours, des échanges de courriers et des connaissances acquises par l'avocate dans d'autres procédures (Juge unique CREP 19 octobre 2017/711 ; Juge unique CREP 19 mai 2016/333 ; Juge unique CREP 25 août 2015/571), il sera retenu trois heures de travail à 300 fr. l'heure (art. 26a TFIP), 30 fr. pour les débours et 7,7 % pour la TVA vu que le recours</w:t>
      </w:r>
    </w:p>
    <w:p>
      <w:r>
        <w:t>- 8 - conforme en français a été déposé en 2018 – étant précisé que si les indemnités au sens des art. 429 ss CPP ne sont pas soumises à la TVA (art. 18 al. 2 let. i LTVA [loi fédérale régissant la taxe sur la valeur ajoutée du</w:t>
      </w:r>
    </w:p>
    <w:p>
      <w:r>
        <w:rPr>
          <w:b/>
        </w:rPr>
        <w:t>E. 12</w:t>
      </w:r>
    </w:p>
    <w:p>
      <w:r>
        <w:t>juin 2009 ; RS 641.20]), les honoraires payés par la partie à son avocat sont quant à eux soumis à la TVA (CREP 1er mars 2017/904) –, soit un montant total de 1'001 fr. 60, qui sera laissé à la charge de l'Etat. Par ces motifs, le juge unique prononce : I. Le recours est partiellement admis. II. La décision du 22 août 2017 est réformée en ce sens qu'une indemnité de 526 fr. (cinq cent vingt-six francs) est allouée à X.________AG pour les dépenses occasionnées par la procédure de première instance, à la charge de l'Etat. III. Les frais d'arrêt, par 720 fr. (sept cent vingt francs), sont laissés à la charge de l'Etat. IV. Une indemnité de 1'001 fr. 60 (mille un francs et soixante centimes) est allouée à X.________AG pour la procédure de recours, à la charge de l'Etat. V. L’arrêt est exécutoire. Le juge unique : La greffière : Du Le présent arrêt, dont la rédaction a été approuvée à huis clos, est notifié, par l'envoi d'une copie complète, à : - Me Bettina Bonderer Wittmann, avocate (pour X.________AG), - Ministère public central,</w:t>
      </w:r>
    </w:p>
    <w:p>
      <w:r>
        <w:t>- 9 - et communiqué à : - M. le Président de la Commission de Police Riviera,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