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PE17.022766 vom 7. Juni 2018</w:t>
      </w:r>
    </w:p>
    <w:p>
      <w:r>
        <w:t>VD Tribunal cantonal, 2018-06-07, FR</w:t>
      </w:r>
    </w:p>
    <w:p>
      <w:r>
        <w:rPr>
          <w:b/>
        </w:rPr>
        <w:t xml:space="preserve">Quelle: </w:t>
      </w:r>
      <w:r>
        <w:t>https://mcp.opencaselaw.ch/entscheid/vd_gerichte_PE17.022766</w:t>
      </w:r>
    </w:p>
    <w:p>
      <w:r>
        <w:t>FR: VD_GERICHTE PE17.022766 du 7 juin 2018</w:t>
      </w:r>
    </w:p>
    <w:p>
      <w:r>
        <w:t>IT: VD_GERICHTE PE17.022766 del 7 giugno 2018</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Code de procédure pénale, 2e éd., Bâle 2016, n. 24 ad art. 263 CPP ; Lembo/Julen Berthod, in : Kuhn/Jeanneret [éd.], Commentaire romand, Code de procédure pénale suisse, Bâle 2011, n. 4 ad art. 267 CPP ; CREP 1er février 2018/71).</w:t>
      </w:r>
    </w:p>
    <w:p>
      <w:r>
        <w:t>- 4 -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RSV 312.01)] ; art. 80 LOJV [Loi d'organisation judiciaire du 12 septembre 1979 ; RSV 173.01]).</w:t>
      </w:r>
    </w:p>
    <w:p>
      <w:r>
        <w:rPr>
          <w:b/>
        </w:rPr>
        <w:t>E. 1.2</w:t>
      </w:r>
    </w:p>
    <w:p>
      <w:r>
        <w:t>Interjeté en temps utile (art. 396 al. 1 CPP) contre une ordonnance de séquestre du Ministère public (art. 263 al. 1 et 393 al. 1 let. a CPP) par la titulaire de la relation bancaire où sont déposées les valeurs patrimoniales saisies, qui dispose ainsi d’un intérêt juridique à l’annulation ou à la modification de l’ordonnance (art. 382 al. 1 CPP), et dans les formes prescrites (art. 385 al. 1 CPP), le recours est recevable.</w:t>
      </w:r>
    </w:p>
    <w:p>
      <w:r>
        <w:rPr>
          <w:b/>
        </w:rPr>
        <w:t>E. 2</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w:t>
      </w:r>
    </w:p>
    <w:p>
      <w:r>
        <w:rPr>
          <w:b/>
        </w:rPr>
        <w:t>E. 2.1</w:t>
      </w:r>
    </w:p>
    <w:p>
      <w:r>
        <w:t>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w:t>
      </w:r>
    </w:p>
    <w:p>
      <w:r>
        <w:t>- 5 - à l’appréciation du juge (Lembo/Julen Berthod,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consid. 3.1 ; Lembo/Julen Berthod, op. cit., n. 26 ad art. 263 CPP et les références citées).</w:t>
      </w:r>
    </w:p>
    <w:p>
      <w:r>
        <w:rPr>
          <w:b/>
        </w:rPr>
        <w:t>E. 2.2</w:t>
      </w:r>
    </w:p>
    <w:p>
      <w:r>
        <w:t>S'agissant en particulier d'un séquestre en vue de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consid. 2.1 ; ATF 137 IV 145 consid. 6.4 et les références citées). L'art. 70 al. 1 CP (Code pénal suisse du 21 décembre 1937 ;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 ; CREP 29 mars 2018/240 consid. 2.2.2 ; CREP 1er mars 2016/135 consid. 3.2.2).</w:t>
      </w:r>
    </w:p>
    <w:p>
      <w:r>
        <w:t>- 6 -</w:t>
      </w:r>
    </w:p>
    <w:p>
      <w:r>
        <w:rPr>
          <w:b/>
        </w:rPr>
        <w:t>E. 2.3</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140 IV 57 consid. 4.1.2 et les références citées). Afin de garantir le prononcé d'une telle créance, l’autorité peut placer sous séquestre des valeurs patrimoniales sans lien de connexité avec les faits faisant l'objet de l'instruction (ATF 140 IV 57 consid. 4.1.2). Cette possibilité, prévue par l’art. 71 al. 3 CP, doit être examinée à l’aune de l’art. 263 al. 1 let. d CPP, qui régit de manière générale le séquestre de type conservatoire (cf. Moreillon/Parein-Reymond, op. cit., n. 19 ad art. 263 CPP).</w:t>
      </w:r>
    </w:p>
    <w:p>
      <w:r>
        <w:rPr>
          <w:b/>
        </w:rPr>
        <w:t>E. 2.4</w:t>
      </w:r>
    </w:p>
    <w:p>
      <w:r>
        <w:t>Pour que le séquestre soit conforme au principe de la proportionnalité (cf. art. 197 al. 1 let. c et d CPP et art. 36 al. 3 Cst. [Constitution fédérale de la Confédération suisse du 18 avril 1999 ; RS 101]), il doit être apte à produire les résultats escomptés (règle de l’aptitude), ces derniers ne pouvant pas être atteints par une mesure moins incisive (règle de la nécessité). Il faut, en outre, que la mesure n’emporte pas de limitation allant au-delà du but visé. Enfin, il doit exister un rapport raisonnable entre le séquestre et les intérêts privés compromis,</w:t>
      </w:r>
    </w:p>
    <w:p>
      <w:r>
        <w:t>- 7 - eu égard à la gravité de l’infraction et des charges qui pèsent sur le prévenu (principe de la proportionnalité au sens étroit) (TF 1B_293/2009 du 7 janvier 2010 consid. 3.2 ; ATF 132 I 49 consid. 7.2 ; Lembo/Julen Berthod, op. cit., n. 23 ad art. 263 CPP).</w:t>
      </w:r>
    </w:p>
    <w:p>
      <w:r>
        <w:rPr>
          <w:b/>
        </w:rPr>
        <w:t>E. 3</w:t>
      </w:r>
    </w:p>
    <w:p>
      <w:r>
        <w:t>En premier lieu, la recourante soutient que, même s’ils étaient avérés, les faits reprochés au prévenu ne seraient constitutifs d’aucune infraction pénale. Elle fonde cette opinion sur un arrêt du Tribunal fédéral (TF 6S.77/2003 du 6 janvier 2004), qui a admis la licéité d’une demande de paiement de 30 fr. en échange d’une renonciation à toute plainte pénale en cas de contravention à une mise à ban. Dans cette mesure, elle estime que la condition à laquelle l’art. 197 al. 1 let. b CPP soumet le séquestre en tant que mesure de contrainte ne serait pas remplie.</w:t>
      </w:r>
    </w:p>
    <w:p>
      <w:r>
        <w:rPr>
          <w:b/>
        </w:rPr>
        <w:t>E. 3.1</w:t>
      </w:r>
    </w:p>
    <w:p>
      <w:r>
        <w:t>Le Ministère public a ouvert une instruction pénale contre J.________ pour tentative de contrainte, au sens des art. 22 et 181 CP. 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(TF 6B_153/2017 du 28 novembre 2017 consid. 3.1 ; ATF 101 IV 42 consid. 3a), la menace est un moyen de pression psychologique consistant à annoncer un dommage futur dont la réalisation est présentée comme dépendante de la volonté de l'auteur, sans toutefois qu'il soit nécessaire que cette dépendance soit effective (TF 6B_153/2017 du 28 novembre 2017 consid. 3.1 ; ATF 117 IV 445 consid. 2b ; ATF 106 IV 125 consid. 2a) ni que l'auteur ait réellement la volonté de réaliser sa menace (TF 6B_153/2017 du 28 novembre 2017 consid. 3.1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w:t>
      </w:r>
    </w:p>
    <w:p>
      <w:r>
        <w:t>- 8 - personne de sensibilité moyenne (TF 6B_153/2017 du 28 novembre 2017 consid. 3.1 ;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6B_153/2017 du 28 novembre 2017 consid. 3.1 ; ATF 141 IV 437 consid. 3.2.1 ; ATF 137 IV 326 consid. 3.3.1). La menace du dépôt d’une plainte pénale doit être considérée comme la menace d'un dommage sérieux ; en effet, un tel acte, dépendant de la volonté de l'auteur, provoque l'ouverture d'une procédure pénale qui est, pour la personne visée, une source de tourments et un poids psychologique considérable, de sorte que cette perspective est propre, pour un destinataire raisonnable, à l'amener à adopter un comportement qu'il n'aurait pas eu s'il avait eu toute sa liberté de décision (ATF 120 IV 17 consid. 2a/aa). Selon la jurisprudence, la contrainte ne tombe sous le coup de l’art. 181 CP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En revanche, l’illicéité est avérée si le moyen n'est pas dans un rapport raisonnable avec le but visé et constitue un moyen de pression abusif. Cette condition est en particulier réalisée si</w:t>
      </w:r>
    </w:p>
    <w:p>
      <w:r>
        <w:t>- 9 - l'objet de la plainte pénale est sans rapport avec la prestation demandée ou si la menace doit permettre d'obtenir un avantage indu (ATF 120 IV 17 consid. 2a ; ATF 115 IV 207 consid. 2b/cc). Ainsi, le fait d’accuser une personne d’infraction pénale et de la menacer de plainte pénale si elle n’adopte pas un certain comportement, est un moyen de pression illicite, constitutif de contrainte au sens de l’art. 181 CP, s’il est utilisé à la légère, sans vérification du caractère pénal de la conduite reprochée à cette personne (ATF 120 IV 17 consid. 2a/bb).</w:t>
      </w:r>
    </w:p>
    <w:p>
      <w:r>
        <w:rPr>
          <w:b/>
        </w:rPr>
        <w:t>E. 3.2</w:t>
      </w:r>
    </w:p>
    <w:p>
      <w:r>
        <w:t>Il résulte de ce qui précède qu’en cas de contravention à une mise à ban, l’ayant droit peut menacer le contrevenant de porter plainte pénale contre lui s’il ne lui paie pas une indemnité forfaitaire, à condition que cette indemnité ne lui procure pas un avantage qui puisse être considéré comme indu (TF 6S.77/2003 du 6 janvier 2004, JdT 2004 I 515 consid. 4.1). En vertu du CO (Code des obligations du 30 mars 1911 ; RS 220), l’ayant droit est fondé à réclamer au contrevenant des dommages- intérêts pour les frais de stationnement qu’il a éventuellement dû engager ailleurs, pour ses frais de recherches du contrevenant – qui comprennent le cas échéant la prime de capture –, pour les frais de matériel de bureau, de port, etc. effectivement engagés pour faire valoir ses droits et même, le cas échéant, pour ses frais d’avocat avant procès (JdT 2004 I 515 consid. 4.2). Selon le Tribunal fédéral, l’ayant droit pourrait en outre prétendre à une indemnité pour l’utilisation abusive de sa place de stationnement, fondée sur un « rapport contractuel de fait » (JdT 2004 I 515 consid. 4.2). Selon une jurisprudence et une doctrine discutées (cf. TF 4A_27/2017 du 30 août 2017 consid. 4.1.4), en effet, un tel rapport lierait celui qui a utilisé de sa propre initiative une prestation fournie par un tiers sans avoir noué de relation contractuelle avec celui-ci, ou après la fin de leurs relations contractuelles, si, selon les conceptions généralement admises dans la société, la prestation ainsi utilisée n’est fournie, dans des circonstances semblables à celles du cas d’espèce, que moyennant une contre-prestation ; si cette dernière condition est remplie, l’utilisateur de la prestation pourrait alors être obligé de fournir une contre-prestation au fournisseur de la prestation qu’il a utilisée, malgré l’absence de contrat existant ou subsistant avec celui-ci (TF 4C.284/2000 du 23 janvier 2002</w:t>
      </w:r>
    </w:p>
    <w:p>
      <w:r>
        <w:t>- 10 - consid. 2c). En tout cas, comme les divers postes que l’ayant droit est fondé à réclamer à titre d’indemnité et/ou de contre-prestation sont petits et qu’ils ne peuvent raisonnablement pas être déterminés avec exactitude, le Tribunal fédéral considère qu’il y a lieu de les fixer en équité, selon l’art. 42 al. 2 CO (JdT 2004 I 515 consid. 4.4). Il admet même que l’indemnité soit forfaitisée, de sorte qu’il n’y ait pas lieu de rechercher pour chaque contravention particulière à combien se montent les différents postes que l’ayant droit peut réclamer (TF 6B_192/2014 du 13 novembre 2014 consid. 4.4). Dans les circonstances de la cause qui a fait l’objet de son arrêt précité du 6 janvier 2004, le Tribunal fédéral a jugé qu’une indemnité globale de 30 fr. n’était pas excessive. Dans les circonstances particulières de son arrêt précité du 13 novembre 2014, il a même jugé qu’une indemnité totale de 52 fr. n’était pas excessive (TF 6B_192/2014 du 13 novembre 2014).</w:t>
      </w:r>
    </w:p>
    <w:p>
      <w:r>
        <w:rPr>
          <w:b/>
        </w:rPr>
        <w:t>E. 3.3</w:t>
      </w:r>
    </w:p>
    <w:p>
      <w:r>
        <w:t>Dans la présente cause, la situation de J.________ se distingue toutefois à deux égards au moins de celle du prévenu dans l’arrêt invoqué par la recourante.</w:t>
      </w:r>
    </w:p>
    <w:p>
      <w:r>
        <w:rPr>
          <w:b/>
        </w:rPr>
        <w:t>E. 3.3.1</w:t>
      </w:r>
    </w:p>
    <w:p>
      <w:r>
        <w:t>D’abord, ni le prévenu ni la recourante ne sont les ayants droit des places de stationnement sur lesquelles les destinataires des lettres, détenteurs présumés conducteurs, ont garé leur véhicule. Le prévenu et la recourante ne se chargent apparemment pas davantage d’obtenir le paiement des indemnités forfaitaires pour le compte des ayants droit de ces places de stationnement, puisque la recourante semble avoir conservé pour elle l’argent versé par les destinataires des lettres, après déduction des honoraires de Q.________. En outre, dès lors que la cession de créance n’est valable que si elle est convenue par écrit (art. 165 al. 1 CO), ils ne paraissent pas, en l’absence de tout contrat passé par écrit avec les utilisateurs de l’application, avoir agi en qualité de cessionnaires des prétentions des ayants droit. Ainsi, la somme réclamée dans les lettres envoyées aux détenteurs ne paraît avoir eu pour finalité de réparer le dommage causé à l’ayant droit, ni même de lui servir de contre-prestation, mais seulement de punir l’auteur du stationnement abusif, en lui infligeant une perte patrimoniale au profit de la recourante. Du reste, la publicité</w:t>
      </w:r>
    </w:p>
    <w:p>
      <w:r>
        <w:t>- 11 - pour l’application invite explicitement à « envoyer une amende » aux conducteurs mal garés (cf. P. 6, p. 6). Le rapport entre la somme réclamée et l’objet de la plainte dont les destinataires des lettres sont menacés apparaît ainsi de nature purement punitive. Or, sous réserve des clauses pénales que peuvent conclure les parties à un contrat (art. 160 CO) et de dispositions légales contraires expresses, le droit de punir appartient exclusivement à l’État (TF 6P.152/2006 du 17 août 2006 consid. 5 ; cf., sur les « indemnités pour frais » demandées par certains commerçants en cas de flagrant délit de vol dans leur magasin, Stratenwerth, Schweizerisches Strafrecht, Allgemeiner Teil I, 4e éd., Berne 2011, n. 51 p. 63, qui propose de créer une nouvelle forme de sanction et qui admet ainsi implicitement que le droit d’infliger une sanction pénale appartient exclusivement à l’État). L’auteur qui exige, sous menace de plainte pénale, une somme d’argent pour punir une infraction, et non pour satisfaire des prétentions civiles, agit ainsi sans droit, soit pour obtenir un avantage indu, et se rend en principe coupable de contrainte (art. 181 CP) ou de tentative de contrainte (art. 22 ad 181 CP), selon que la personne menacée ait versé la somme réclamée ou, au contraire, qu’elle ait refusé de la verser. Pour ce premier motif déjà, J.________ paraît avoir adopté un comportement tombant sous le coup de la loi pénale.</w:t>
      </w:r>
    </w:p>
    <w:p>
      <w:r>
        <w:rPr>
          <w:b/>
        </w:rPr>
        <w:t>E. 3.3.2</w:t>
      </w:r>
    </w:p>
    <w:p>
      <w:r>
        <w:t>Ensuite, la publicité faite pour l’application ne s’adressait pas spécifiquement aux ayants droit de places de stationnement mises à ban. Par sa publicité, il semble au contraire que la recourante, agissant par le prévenu, ait voulu inciter tout ayant droit d’une place de parc quelconque, mise à ban ou non, à faire usage de ses services pour « envoyer une amende anonyme directement » au détenteur, présumé conducteur, d’un véhicule abusivement garé sur son emplacement (cf. P. 6, p. 6). Ainsi, par la publicité qu’il a fait faire à la recourante, le prévenu paraît avoir déterminé nombre de personnes, dont l’utilisateur à l’origine de la lettre adressée à P.________, à déclencher l’envoi d’une lettre menaçant le destinataire de plainte pénale, alors même que le fonds sur lequel il était reproché au destinataire de s’être parqué sans droit n’avait pas été mis à ban. Or, le fait d’accuser une personne d’infraction pénale et de la menacer de plainte pénale si elle n’adopte pas un certain comportement,</w:t>
      </w:r>
    </w:p>
    <w:p>
      <w:r>
        <w:t>- 12 - est un moyen de pression illicite, constitutif de contrainte au sens de l’art. 181 CP, s’il est utilisé à légère, sans vérification du caractère pénal de la conduite reprochée à la personne menacée (cf. supra, consid. 3.1). S’il est civilement illicite, le stationnement abusif ne constitue une infraction pénale qu’à la condition que le fonds ait été mis à ban par une décision judiciaire. Le prévenu ne paraît pas avoir pris la moindre mesure (par exemple en exigeant une photographie de la signalisation prescrite par l’art. 259 CPC [Code de procédure civile du 19 décembre 2008 ; RS 272]) pour s’assurer que cette condition fût remplie à chaque envoi de lettre. Dès lors, même si, par une construction juridique que les pièces du dossier ne permettent pas de se figurer en l’état, la recourante et le prévenu parvenaient à démontrer que les sommes encaissées profitaient aussi, d’une manière ou d’une autre, aux utilisateurs de l’application, il n’en resterait pas moins que, dans bon nombre de cas, notamment dans celui de P.________, le moyen utilisé pour déterminer le destinataire de la lettre à payer 40 fr. serait abusif et, comme tel, constitutif de contrainte ou de tentative de contrainte, pour avoir été utilisé en l’absence de soupçon suffisamment fondé d’infraction pénale commise par le destinataire.</w:t>
      </w:r>
    </w:p>
    <w:p>
      <w:r>
        <w:rPr>
          <w:b/>
        </w:rPr>
        <w:t>E. 3.3.3</w:t>
      </w:r>
    </w:p>
    <w:p>
      <w:r>
        <w:t>En résumé, il existe des raisons sérieuses et concrètes de soupçonner J.________ d’avoir déterminé des ayants droit de places de stationnement, dont certaines n’étaient même pas mises à ban, à déclencher l’envoi de lettres destinées à faire pression, par la menace d’une plainte pénale pour contravention à une mise à ban, sur les détenteurs de véhicules garés sur leur emplacement pour que ceux-ci paient, au profit de la société du prévenu, une somme d’argent qui n’avait qu’une finalité sanctionnatrice et à laquelle, par conséquent, ni les ayants droit des places de parc, ni le prévenu, ni sa société, n’avaient aucune espèce de droit. Le prévenu paraît en outre ne pas s’être borné à déterminer les ayants droit de places de stationnement à agir, mais il semble qu’il leur ait encore procuré le moyen d’agir, en leur fournissant l’application, et qu’il ait lui-même mandaté un tiers, Q.________, pour qu’il envoie les lettres de menace. Parmi les autres participants, il aurait ainsi joué le rôle d’un coauteur, de sorte que son comportement pourrait être constitutif de contrainte et de tentative de contrainte. Contrairement à ce</w:t>
      </w:r>
    </w:p>
    <w:p>
      <w:r>
        <w:t>- 13 - que soutient la recourante, la condition du séquestre découlant de l’art. 197 al. 1 let. b CPP est dès lors bien remplie.</w:t>
      </w:r>
    </w:p>
    <w:p>
      <w:r>
        <w:rPr>
          <w:b/>
        </w:rPr>
        <w:t>E. 4</w:t>
      </w:r>
    </w:p>
    <w:p>
      <w:r>
        <w:t>En deuxième lieu, la recourante soutient que le séquestre violerait le principe de la proportionnalité.</w:t>
      </w:r>
    </w:p>
    <w:p>
      <w:r>
        <w:rPr>
          <w:b/>
        </w:rPr>
        <w:t>E. 4.1.1</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devant demeurer à disposition de la justice aussi longtemps qu'il existe un doute sur la part des fonds qui pourrait provenir d'une activité criminelle (TF 1B_145/2016 du 1er juillet 2016 consid. 3.1 et les arrêts cités). Les probabilités d'une confiscation, respectivement du prononcé d'une créance compensatrice, doivent cependant se renforcer au cours de l'instruction (ATF 122 IV 91 consid. 4). Selon la jurisprudence, un séquestre peut en effet apparaître disproportionné lorsque la procédure dans laquelle il s'inscrit s'éternise sans motifs suffisants (ATF 132 I 229 consid. 11.6). Un délai raisonnable peut, le cas échéant, être fixé pour qu'il soit procédé aux actes nécessaires et à la clôture de l'enquête ; cette faculté n'est cependant pas toujours ouverte, en particulier lorsque le retard découle de résultats de commissions rogatoires à l'étranger (TF 1B_401/2013 du 13 février 2014 consid. 3.1 et les arrêts cités). En outre, pour respecter le principe de la proportionnalité, l'étendue du séquestre doit rester en rapport avec le produit de l'infraction poursuivie (ATF 130 II 329 consid. 6).</w:t>
      </w:r>
    </w:p>
    <w:p>
      <w:r>
        <w:rPr>
          <w:b/>
        </w:rPr>
        <w:t>E. 4.1.2</w:t>
      </w:r>
    </w:p>
    <w:p>
      <w:r>
        <w:t>En règle générale, le juge doit arrêter le montant de la créance compensatrice selon le principe des recettes brutes. Ainsi, celui qui vend des stupéfiants réalise par son acte un profit illicite équivalent à la totalité de la somme reçue. Certes, il a fourni de la drogue en échange de l'argent reçu, mais il s'agit d'une marchandise dangereuse dont la vente est</w:t>
      </w:r>
    </w:p>
    <w:p>
      <w:r>
        <w:t>- 14 - interdite, de sorte qu'il n'avait aucun droit d'en tirer une somme quelconque et qu'il était même exposé en tout temps à ce que la drogue lui soit confisquée sans aucune contrepartie. L'avantage illicite qui peut être confisqué est donc le prix total de la vente. Si l'intéressé ne détient plus les fonds, il doit être condamné à une créance compensatrice équivalente envers l'Etat. Il n'y a donc pas lieu de rechercher le bénéfice net ou de déduire des frais de production dans de tels cas (ATF 119 IV 17 consid. 2a).</w:t>
      </w:r>
    </w:p>
    <w:p>
      <w:r>
        <w:rPr>
          <w:b/>
        </w:rPr>
        <w:t>E. 4.2</w:t>
      </w:r>
    </w:p>
    <w:p>
      <w:r>
        <w:t>En l’espèce, il semble que, de novembre 2016 à janvier 2018, 472 destinataires de lettres envoyées à la demande d’utilisateurs de l’application exploitée par la recourante aient payé 40 fr. chacun, soit un total de 18'880 fr. (= 472 x 40 fr.). En outre, ces utilisateurs, qui pourraient bien être eux-mêmes au nombre de 472, ont dû payer, pour télécharger l’application, un montant pouvant être de 4 fr. chacun, ce qui correspondrait à un total perçu par la recourante pour les téléchargements de 1'888 fr. (= 472 x 4 fr.). Le produit brut de l’exploitation de l’application pourrait ainsi s’élever à 20'768 fr. (= 18'880 fr. + 1'888 fr.). Une partie de ce produit brut, soit le produit net, semble toujours se trouver sur le compte que la recourante a ouvert auprès de F.________, et pourrait donc faire, si le juge considère que les conditions en sont remplies, l’objet d’une confiscation de valeurs patrimoniales au sens de l’art. 70 CP. La différence entre le produit net et le produit brut pourrait faire l’objet d’une créance compensatrice au sens de l’art. 71 CP. Ainsi, en ordonnant à concurrence de 20'000 fr. le séquestre des avoirs déposés sur le compte [...] de la recourante, le Ministère public n’a pas violé le principe de la proportionnalité.</w:t>
      </w:r>
    </w:p>
    <w:p>
      <w:r>
        <w:rPr>
          <w:b/>
        </w:rPr>
        <w:t>E. 5</w:t>
      </w:r>
    </w:p>
    <w:p>
      <w:r>
        <w:t>En troisième et dernier lieu, la recourante soutient que l’ordonnance attaquée serait inopportune. Plus précisément, elle fait grief au Ministère public d’avoir ordonné le séquestre sans avoir préalablement vérifié les éléments en droit avancés par le prévenu, ni même avoir procédé à un examen sommaire de la situation juridique.</w:t>
      </w:r>
    </w:p>
    <w:p>
      <w:r>
        <w:t>- 15 -</w:t>
      </w:r>
    </w:p>
    <w:p>
      <w:r>
        <w:rPr>
          <w:b/>
        </w:rPr>
        <w:t>E. 5.1</w:t>
      </w:r>
    </w:p>
    <w:p>
      <w:r>
        <w:t>L'art. 393 al. 2 let. c CPP prévoit que le recours peut être formé pour des motifs d'opportunité. Saisie d'un tel grief, l'autorité de recours doit concrètement décider si la décision rendue par l'autorité inférieure est opportune ou non (Moreillon/Parein-Reymond, op. cit., n. 33 ad art. 393 CPP). Le contrôle de l’opportunité consiste à intervenir à l’intérieur même du cadre légal dans lequel l’autorité dont l’acte est attaqué exerce sa liberté d’appréciation ; il n'appartient pas à l’autorité supérieure de vérifier si des normes juridiques ont été violées, mais bien si la décision en cause est bien la meilleure qu’on puisse prendre dans ce cadre (Moor, Droit administratif, Vol. II, Berne 2011, n. 5.7.3.5, pp. 797 ss ; Rémy, in : Kuhn/ Jeanneret [éd.], op. cit., n. 18 ad art. 393 CPP ; Stephensen/Thiriet, in : Niggli/Heer/ Wiprächtiger [éd.], Basler Kommentar, Schweizerische Strafprozessordnung, 2e éd., Bâle 2014, n. 17 ad art. 393 CPP ; Schmid, Schweizerische Strafprozessordnung, Praxiskommentar, 2e éd., Zurich/St- Gall 2013, nn. 17 ss. ad art. 393 CPP).</w:t>
      </w:r>
    </w:p>
    <w:p>
      <w:r>
        <w:rPr>
          <w:b/>
        </w:rPr>
        <w:t>E. 5.2</w:t>
      </w:r>
    </w:p>
    <w:p>
      <w:r>
        <w:t>En l’espèce, rien n’indique que le Ministère public n’ait pas analysé attentivement la situation juridique avant d’ordonner le séquestre attaqué. Les griefs articulés par la recourante à cet égard sont sans fondement. En tout cas, après avoir examiné la situation en droit, la Cour de céans est parvenue elle aussi à la conclusion qu’il y avait matière à instruire et lieu de séquestrer une somme de 20'000 fr. sur le compte [...] de la recourante. Il apparaît ainsi clairement que l’ordonnance attaquée est non seulement bien fondée en droit, mais également opportune.</w:t>
      </w:r>
    </w:p>
    <w:p>
      <w:r>
        <w:rPr>
          <w:b/>
        </w:rPr>
        <w:t>E. 6</w:t>
      </w:r>
    </w:p>
    <w:p>
      <w:r>
        <w:t>En définitive, le recours, manifestement mal fondé, doit être rejeté sans autre échange d’écritures (art. 390 al. 2 CPP) et l’ordonnance attaquée confirmée. Les frais de la procédure de recours, constitués en l’espèce du seul émolument d’arrêt (art. 422 al. 1 CPP), par 1’540 fr. (art. 20 al. 1 TFIP [Tarif des frais de procédure et indemnités en matière pénale du 28 septembre 2010 ; RSV 312.03.1]), seront mis à la charge de la recourante, qui succombe (art. 428 al. 1 CPP).</w:t>
      </w:r>
    </w:p>
    <w:p>
      <w:r>
        <w:t>- 16 - Par ces motifs, la Chambre des recours pénale prononce : I. Le recours est rejeté. II. L’ordonnance du 19 avril 2018 est confirmée. III. Les frais d’arrêt, par 1’540 fr. (mille cinq cent quarante francs), sont mis à la charge de V.________. IV. L’arrêt est exécutoire. Le président : Le greffier : Du Le présent arrêt, dont la rédaction a été approuvée à huis clos, est notifié, par l'envoi d'une copie complète, à : - Me Elise Deillon-Antenen, avocate (pour V.________), - Ministère public central, et communiqué à : - Mme la Procureure de l’arrondissement de l’Est vaudois, - F.________,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