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PE17.022279 vom 22. August 2018</w:t>
      </w:r>
    </w:p>
    <w:p>
      <w:r>
        <w:t>VD Tribunal cantonal, 2018-08-22, FR</w:t>
      </w:r>
    </w:p>
    <w:p>
      <w:r>
        <w:rPr>
          <w:b/>
        </w:rPr>
        <w:t xml:space="preserve">Quelle: </w:t>
      </w:r>
      <w:r>
        <w:t>https://mcp.opencaselaw.ch/entscheid/vd_gerichte_PE17.022279</w:t>
      </w:r>
    </w:p>
    <w:p>
      <w:r>
        <w:t>FR: VD_GERICHTE PE17.022279 du 22 août 2018</w:t>
      </w:r>
    </w:p>
    <w:p>
      <w:r>
        <w:t>IT: VD_GERICHTE PE17.022279 del 22 agosto 2018</w:t>
      </w:r>
    </w:p>
    <w:p>
      <w:pPr>
        <w:pStyle w:val="Heading2"/>
      </w:pPr>
      <w:r>
        <w:t>Erwägungen</w:t>
      </w:r>
    </w:p>
    <w:p>
      <w:r>
        <w:rPr>
          <w:b/>
        </w:rPr>
        <w:t>E. 1</w:t>
      </w:r>
    </w:p>
    <w:p>
      <w:r>
        <w:t>D.________ est né le [...] 1994 en [...], pays dont il est originaire et où vivent toujours sa grand-mère maternelle, ainsi que son père et ses deux demi-sœurs – avec qui il déclare n'avoir que très peu de contacts. Il a vécu dans ce pays jusqu’à l’âge de dix ans. Depuis 2005, il vit en Suisse</w:t>
      </w:r>
    </w:p>
    <w:p>
      <w:r>
        <w:t>- 12 - avec mère, ses deux frères et sa sœur. Il a d’abord été au bénéfice d’un permis B par regroupement familial, puis d'un permis d'établissement C depuis 2016. A la fin de sa scolarité obligatoire, il a suivi une année auprès de l’Organisme pour le Perfectionnement scolaire, la Transition et l’Insertion professionnelle (OPTI). Il a également vainement tenté de trouver une place d’apprentissage. Il a par la suite fréquenté le SEMO mais comme il avait la volonté d’aller au gymnase, il a décidé d’effectuer un séjour linguistique en Allemagne afin de préparer les examens d’entrée dans cet établissement. Il a toutefois échoué à ces examens et est alors allé en [...] pour y suivre des cours d’anglais et d’informatique durant 3 mois. Durant ce séjour, il a logé dans la maison de l'ex-épouse de son père, avec ce dernier. Comme il souhaitait toujours entrer au gymnase il est parti en Allemagne afin de suivre des cours de langue durant une année. Par la suite, il a commencé une école technique à [...] pour y recevoir une formation de micro-mécanicien. C'est là qu'il a connu la plaignante V.________ et qu'il s'est lié d'amitié avec elle. Il n'a pas pu réintégrer l'école à [...] à sa sortie de la détention subie en lien avec les faits de la présente cause. Engagé le 19 septembre 2018 chez [...] SA dans le débitage de bûches, il a dû arrêter ce travail en novembre 2019 après une opération du poignet. Depuis lors, il recherche un apprentissage et s'est inscrit dans des entreprises intérimaires, postulant pour obtenir un emploi de géomaticien. La société de placement intérimaire [...] lui a proposé de suivre deux jours de formation dans l'horlogerie de base les 26 février et 5 mars 2019. Il s'est également inscrit à l'assurance-chômage mais ne perçoit pour le moment aucune indemnité. Il est financièrement aidé par sa mère et vit toujours dans le même appartement en colocation où il est prévu que sa petite amie emménage avec lui. Il a des dettes en lien principalement avec sa précédente condamnation, prononcée alors qu'il était encore mineur. Le casier judiciaire de D.________ comporte une inscription à savoir une condamnation à une peine privative de liberté du droit pénal des mineurs de neuf mois avec sursis durant deux ans, prononcée le 5 juillet 2013 par le Tribunal des mineurs du canton de Vaud pour contrainte</w:t>
      </w:r>
    </w:p>
    <w:p>
      <w:r>
        <w:t>- 13 - sexuelle, viol et violation du domaine secret ou du domaine privé au moyen d’un appareil de prise de vues.</w:t>
      </w:r>
    </w:p>
    <w:p>
      <w:r>
        <w:rPr>
          <w:b/>
        </w:rPr>
        <w:t>E. 2</w:t>
      </w:r>
    </w:p>
    <w:p>
      <w:r>
        <w:t>Pour les besoins de la cause, D.________ a été détenu du 15 novembre 2017 au 22 août 2018, soit durant 281 jours, dont 28 jours passés en zone carcérale.</w:t>
      </w:r>
    </w:p>
    <w:p>
      <w:r>
        <w:rPr>
          <w:b/>
        </w:rPr>
        <w:t>E. 3</w:t>
      </w:r>
    </w:p>
    <w:p>
      <w:r>
        <w:t>La plaignante et le Ministère public contestent l'acquittement dont a bénéficié D.________. Ils font valoir en substance que les déclarations fluctuantes du prévenu ne sont pas crédibles et que la version de la plaignante – qui n'avait jamais varié dans ses déclarations – devait être retenue. Partant, aucun doute sérieux ne subsisterait s'agissant de l'état d'incapacité de résister dans lequel se trouvait la plaignante au moment des faits, ce dont le prévenu était conscient, de sorte qu'il devait être condamné, pour infraction à l’art. 191 CP.</w:t>
      </w:r>
    </w:p>
    <w:p>
      <w:r>
        <w:rPr>
          <w:b/>
        </w:rPr>
        <w:t>E. 3.1.1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les art. 10 CPP, 32 al. 1 Cst., 14 par. 2 Pacte ONU Il et 6 par. 2 CEDH, ainsi que son corollaire,</w:t>
      </w:r>
    </w:p>
    <w:p>
      <w:r>
        <w:t>- 16 - le principe " in dubio pro reo ", concernent tant le fardeau de la preuve que l'appréciation des preuves au sens large (ATF 127 I 38 consid. 2a; TF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TF 6B_804/2017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143 IV 500 consid. 1.1; ATF 138 V 74 consid. 7; TF 6B_804/2017 précité, consid. 2.2.3.3).</w:t>
      </w:r>
    </w:p>
    <w:p>
      <w:r>
        <w:rPr>
          <w:b/>
        </w:rPr>
        <w:t>E. 3.1.2</w:t>
      </w:r>
    </w:p>
    <w:p>
      <w:r>
        <w:t>Aux termes de l'art. 191 CP, est punissable celui qui, sachant qu'une personne est incapable de discernement ou de résistance, en aura profité pour commettre sur elle l'acte sexuel, un acte analogue ou un autre acte d'ordre sexuel. A la différence de la contrainte sexuelle ou du viol, la victime est incapable de discernement ou de résistance, non en raison d'une contrainte exercée par l'auteur, mais pour d'autres causes. Une personne incapable de discernement au sens de l'art. 191 CP si, au moment de l'acte, elle n'est pas en état de former sa volonté et de s'y tenir. Elle est incapable de résistance si elle se trouve dans un état qui, concrètement, l'empêche de s'opposer aux visées de l'auteur. Selon la jurisprudence, est en particulier incapable de résistance la personne qui n'est pas apte à s'opposer à des contacts</w:t>
      </w:r>
    </w:p>
    <w:p>
      <w:r>
        <w:t>- 17 -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et les références citées; voir également ATF 119 IV 230 consid. 3a ; TF 6B_60/2015 du 25 janvier 2016 consid. 1.1.1). Le sommeil fonde une incapacité de résistance (TF 6S.217/2002 du 3 avril 2003 consid. 3). Ainsi une femme peut être considérée comme incapable de résistance lorsque, s'étant couchée après une fête sous l'emprise de l'alcool, elle est sortie tout doucement et tendrement du sommeil par l'auteur, qu'elle prend par erreur pour son conjoint, et pénétrée par surprise, contre son gré (ATF 119 IV 230 consid. 3a).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(TF 6S.359/2002 du 7 août 2003 consid. 5.2 et les références). Il n'y a pas d'infraction si l'auteur est convaincu, à tort, que la personne est capable de discernement ou de résistance au moment de l'acte (TF 6B_60/2015 du 25 janvier 2016 consid. 1.2.1).</w:t>
      </w:r>
    </w:p>
    <w:p>
      <w:r>
        <w:rPr>
          <w:b/>
        </w:rPr>
        <w:t>E. 3.2.1</w:t>
      </w:r>
    </w:p>
    <w:p>
      <w:r>
        <w:t>Les premiers juges ont considéré qu'un doute sérieux subsisterait quant à l'état dans lequel se trouvait l'appelante au moment</w:t>
      </w:r>
    </w:p>
    <w:p>
      <w:r>
        <w:t>- 18 - des faits, doute qui serait renforcé par l'attitude de la victime qui a notamment pu se démaquiller et se lever pour aller vomir, faisant encore valoir que si elle avait été totalement incapable de résistance ou de discernement, elle n'aurait probablement pas pu se rendre aux toilettes. En outre, si elle ne consentait vraiment pas dès le début aux actes, elle aurait pu le signifier clairement au prévenu lorsqu'elle s'est levée pour aller vomir. Les premiers juges ont ajouté qu'en fonction du doute entourant l'état de la plaignante, de la façon dont elle avait manifesté à tout le moins au début sa désapprobation, il était difficile de retenir qu'elle était incapable de discernement ou de résistance. A ce propos, ils ont relevé que lorsqu'il avait perçu au moment de la pénétration avec son sexe qu'elle était opposée à ses agissements, elle a crié et l'a écarté avec la main, le prévenu avait immédiatement arrêté.</w:t>
      </w:r>
    </w:p>
    <w:p>
      <w:r>
        <w:rPr>
          <w:b/>
        </w:rPr>
        <w:t>E. 3.2.2</w:t>
      </w:r>
    </w:p>
    <w:p>
      <w:r>
        <w:t>La Cour de céans constate que les premières déclarations à la police des deux protagonistes ne sont pas spontanées. Ils ont en effet évoqué ensemble les faits, sans avoir été précis sur ceux-ci et ils ont échangé des messages. Le prévenu savait que l'appelante lui reprochait un comportement grave et celle-ci savait que le prévenu considérait que rien de grave ne s'était passé et qu'elle exagérait.</w:t>
      </w:r>
    </w:p>
    <w:p>
      <w:r>
        <w:rPr>
          <w:b/>
        </w:rPr>
        <w:t>E. 3.2.3</w:t>
      </w:r>
    </w:p>
    <w:p>
      <w:r>
        <w:t>L'appelante s'est présentée le 13 novembre 2017 au poste de gendarmerie du [...] afin de déposer plainte alors que les faits se sont déroulés le 5 octobre 2017. Elle a expliqué qu'elle s'est rendu compte de la gravité de la situation après coup. Elle a parlé de la soirée et de son sentiment d'avoir été abusée le 9 novembre à sa sœur. Elle en a parlé le même jour à un ami [...]. Elle a mis sa mère au courant le 10 novembre 2017. Elle a déclaré ne pas comprend vraiment pourquoi elle avait attendu le 13 novembre pour aller porter plainte et que « c'était le temps de réflexion ». Ce laps de temps ne décrédibilise pas la version de la plaignante. En effet, elle a tout de suite compris qu'il s'était passé quelque chose qu'elle n'avait pas voulu. Elle a voulu en parler avec le prévenu le lendemain, car ils avaient cours. Il a minimisé. Elle a par ailleurs cru qu'elle avait été droguée car elle ne garde que peu de souvenirs des faits.</w:t>
      </w:r>
    </w:p>
    <w:p>
      <w:r>
        <w:t>- 19 - L'appelante est constante dans ses déclarations. Elle cherche de manière cohérente à reconstituer ses souvenirs. Ce soir-là, elle avait beaucoup bu, avait vomi à plusieurs reprises, déjà au bar selon un témoin. Elle se souvient d'avoir fait des allers-retours entre son lit et les toilettes, de s'être couchée habillée. Précédemment elle avait donné un sac de couchage au prévenu pour qu'il puisse dormir sur le canapé, ce dont elle ne se souvient pas. Elle décrit des actes sexuels commis pendant son sommeil, qu'elle se réveillait, lui disait d'arrêter, ce qu'il faisait et que cela s'est produit à plusieurs reprises. Elle ne se souvenait pas d'avoir été pénétrée. Elle a décrit une incapacité complète de résistance liée principalement à son alcoolisation et au sommeil. Elle s'est enfin dite certaine de ne pas avoir eu un comportement quelconque qui pourrait laisser croire au prévenu qu'elle souhaitait aller plus loin avec lui. Elle n’a démontré aucun esprit de vengeance.</w:t>
      </w:r>
    </w:p>
    <w:p>
      <w:r>
        <w:rPr>
          <w:b/>
        </w:rPr>
        <w:t>E. 3.2.4</w:t>
      </w:r>
    </w:p>
    <w:p>
      <w:r>
        <w:t>Le prévenu n'a pour l'essentiel pas modifié ses déclarations entre le 15 novembre 2017 à la police, et son audition du 9 avril 2018 par le Ministère public, les quelques différences n'étant pas à elles seules significatives. Il s'est montré fuyant lorsqu'il a été interrogé pour la première fois par la police sur ses antécédents. Il a d'abord dit qu'il ne voulait pas répondre pour affirmer ensuite qu'il avait des antécédents de vol, puis il a parlé de viol précisant qu'il avait été accusé et qu'il avait fini par avouer les faits au tribunal parce qu'il était fatigué. Ensuite, à l’évocation de violence domestique, il a reconnu avoir été dénoncé par son ex-amie, affaire qui avait été suspendue puis classée. Ensuite lorsque la police a évoqué la LEtr, il a indiqué avoir été dénoncé car le permis de séjour de son amie n'était plus valable. S'agissant en particulier du déroulement de la soirée du 5 octobre 2017, le prévenu a indiqué en substance que déjà au bar, l'appelante avait passablement bu, qu'en rentrant chez elle, elle lui avait dit que c'était la première fois qu'elle se sentait mal à cause de l'alcool et qu'elle avait envie de vomir. Elle est allée aux toilettes, en est sortie, y est</w:t>
      </w:r>
    </w:p>
    <w:p>
      <w:r>
        <w:t>- 20 - retournée. Il l'a trouvée assise près de la cuvette, prête à vomir. Il affirme ne pas l'avoir vue ou entendu vomir. Puis elle s'est brossée les dents, s'est démaquillée ; elle a refusé de boire plus d'alcool. Elle est allée se coucher dans son lit et lui s'est installé sur le canapé. Il l'a rejointe, lui a demandé s'il pouvait dormir avec elle ; elle lui a dit qu'elle était d'accord, mais que c'était pour dormir et qu'il fallait se lever le lendemain pour aller aux cours. Ils se sont faits un câlin, puis il l'a caressée. Elle s'est levée pour aller aux toilettes. Dans sa première audition à la police, le prévenu a indiqué que lorsqu'elle est revenue, il a recommencé à la caresser. Il dit avoir interprété le fait qu'elle aille alors dans la salle de bains comme le fait qu'elle se préparait pour avoir une relation avec lui. Dans sa deuxième audition le même jour, il a indiqué qu'il était retourné sur le canapé, qu’elle lui avait donné un sac de couchage, qu’elle l'avait rejoint sur le canapé, qu’ils s’étaient enlacés, puis avaient rejoint le lit. Là ils se sont faits un câlin, puis il l'a caressée. Elle lui avait dit deux fois « arrête, arrête », la première fois lorsqu'il avait voulu lui caresser le sexe. Il a dit avoir pensé qu'il avait agi trop vite, que ce n'était pas un vrai « non ». Il avait ainsi recommencé, lui avait touché le ventre puis le vagin, elle lui avait dit une seconde fois « arrête, arrête ». Il a affirmé que ces mots n'étaient pas fermes et qu'elle paraissait gênée. Alors il avait recommencé, lui avait caressé le ventre, elle n'avait rien dit, puis il lui avait mis deux doigts dans son vagin. Elle l'avait ensuite selon lui aidé à enlever son string. Il avait continué à la caresser, elle n'avait pas dit non, avait fait un geste vers lui, elle était excitée alors il l'avait pénétrée. C'est alors qu'elle lui avait dit fermement d'arrêter, ce qu'il avait fait. Le prévenu a ajouté devant les premiers juges qu'elle l'avait alors poussé avec ses mains et qu'elle avait crié « arrête » ce qu'il n'avait pas dit dans ces trois premières auditions en cours d'enquête. Il a affirmé qu'elle réagissait et qu'elle était consentante. Au matin, il avait voulu lui faire un câlin, alors qu'elle dormait, mais son sexe était en érection, alors celui-ci s'est glissé entre ses fesses, alors même qu'il ne voulait pas entretenir une relation avec elle, elle l'avait repoussé. Le prévenu affirme que la plaignante « voulait quelque chose avec lui », « tout en ne voulant pas », et qu'elle ne savait pas trop ce</w:t>
      </w:r>
    </w:p>
    <w:p>
      <w:r>
        <w:t>- 21 - qu'elle voulait. Entendu le 9 avril 2018, il s'est dit persuadé qu'elle voulait les caresses, mais pas la pénétration. Il a ajouté des détails sur les encouragements qu'elle lui aurait faits au fil de ses témoignages. A l'audience d'appel, le prévenu a admis que la plaignante n'avait jamais dit ou fait de geste direct signifiant clairement qu’elle voulait être pénétrée, que ce soit avec ses doigts ou avec son sexe.</w:t>
      </w:r>
    </w:p>
    <w:p>
      <w:r>
        <w:rPr>
          <w:b/>
        </w:rPr>
        <w:t>E. 3.2.5</w:t>
      </w:r>
    </w:p>
    <w:p>
      <w:r>
        <w:t>Il reste à déterminer si le prévenu pouvait se rendre compte de l'état de l'appelante de sorte que l'élément subjectif de l'infraction serait réalisé. Le prévenu avait également bu sans toutefois qu'on puisse retenir qu'il était particulièrement alcoolisé. Encore en appel, le prévenu explique que le mot « arrête » peut avoir une définition différente selon les circonstances, admettant après réflexion que cela veut dire qu'il faut arrêter. Le prévenu décrit avoir caressé le ventre de l'appelante puis que, lorsqu'il l'a pénétrée avec les doigts, elle lui a dit deux fois d'arrêter et qu'il a alors pensé avoir agi trop vite. Il a consciemment profité de l'état de l'appelante – ivre et endormie – pour commettre des attouchements, sans se demander si sa partenaire les acceptait, s'arrêtant à chaque fois que ses gestes la réveillaient et qu'elle lui demandait d'arrêter, pour recommencer une fois qu'elle s'était rendormie. C'est également ce qu'il décrit quand il indique qu'au matin il s'est couché contre elle alors qu'elle dormait en lui tournant le dos, que son sexe s'est glissé entre ses fesses, qu'elle s'est réveillée et l'avait repoussé. Le comportement du prévenu consiste à imposer des gestes à sa partenaire sans se soucier, dans un premier temps, de son accord. En outre, le parallélisme entre ses déclarations dans la présente affaire et celles qu'il avait faites lors de sa</w:t>
      </w:r>
    </w:p>
    <w:p>
      <w:r>
        <w:t>- 24 - première condamnation pour viol en 2013 est frappant. Le fait que son amie actuelle décrive le prévenu comme très respectueux n’est pas de nature à renverser les constatations qui précèdent. Compte tenu de l'ensemble de ces éléments, il y a lieu de retenir que le prévenu savait que l'appelante était incapable de résistance, puisqu'elle était ivre et endormie. C'est ainsi en toute connaissance de cause qu'il a profité de l'état de l'appelante pour lui imposer des actes d'ordre sexuel. Les éléments objectifs et subjectifs de l'infraction d'actes d'ordre sexuel sur une personne incapable de discernement ou de résistance sont dès lors réalisés et le prévenu doit être condamné pour ces faits.</w:t>
      </w:r>
    </w:p>
    <w:p>
      <w:r>
        <w:rPr>
          <w:b/>
        </w:rPr>
        <w:t>E. 4</w:t>
      </w:r>
    </w:p>
    <w:p>
      <w:r>
        <w:t>La condamnation du prévenu étant retenue, il convient de fixer la peine à prononcer à son encontre. Le Ministère public a requis une peine privative de liberté de 30 mois ferme pour sanctionner les actes d'ordre sexuel ainsi que l'infraction à la LArm qui n'est pas contestée.</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- 25 -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217 consid. 2.2 ss).</w:t>
      </w:r>
    </w:p>
    <w:p>
      <w:r>
        <w:rPr>
          <w:b/>
        </w:rPr>
        <w:t>E. 4.2</w:t>
      </w:r>
    </w:p>
    <w:p>
      <w:r>
        <w:t>En l'espèce, la culpabilité du prévenu est importante. À charge, on retiendra que le 5 juillet 2013, il a déjà été condamné à neuf mois de peine privative de liberté avec sursis pendant deux ans par le Tribunal des mineurs pour viol. Le prévenu, qui était âgé de 23 ans au moment des faits de la présente cause, a abusé d'une amie alcoolisée et endormie, qui avait confiance en lui, la traitant comme un objet sexuel. Malgré ses antécédents, il n'a pas hésité à profiter de la situation pour</w:t>
      </w:r>
    </w:p>
    <w:p>
      <w:r>
        <w:t>- 26 - assouvir ses pulsions. Il a agi par pur égoïsme et a fait preuve d'une absence de prise de conscience encore en appel. S'il s'est inquiété pour lui, sa famille et son couple, il ne l'a jamais fait pour sa victime. Les actes d'ordre sexuel sont en concours avec l'infraction à la LArm. A décharge, on peut tenir compte du fait que le prévenu était lui-même alcoolisé sans que cela ne l'empêche toutefois de se rendre compte de l'illicéité de ses actes. L’infraction contre l’intégrité sexuelle est évidemment la plus grave et ne peut être sanctionnée que par une peine privative de liberté significative. Seul ce type de peine entre également en ligne de compte s’agissant de l’infraction à la LArm, compte tenu des antécédents. La peine de 30 mois requise par le Ministère public est adéquate pour sanctionner les comportements du prévenu. Compte tenu de son antécédent et de l'absence de prise de conscience de la gravité des faits qui lui sont reprochés, le pronostic est clairement défavorable, de sorte que c'est une peine ferme qui doit être prononcée, un sursis partiel n’entrant pas en ligne de compte.</w:t>
      </w:r>
    </w:p>
    <w:p>
      <w:r>
        <w:rPr>
          <w:b/>
        </w:rPr>
        <w:t>E. 5</w:t>
      </w:r>
    </w:p>
    <w:p>
      <w:r>
        <w:t>Dans son appel, le Ministère public conclut à l'expulsion de D.________ pour une durée de 12 ans.</w:t>
      </w:r>
    </w:p>
    <w:p>
      <w:r>
        <w:rPr>
          <w:b/>
        </w:rPr>
        <w:t>E. 5.1</w:t>
      </w:r>
    </w:p>
    <w:p>
      <w:r>
        <w:t>Selon l'art. 66a CP, le juge expulse de Suisse l'étranger qui est condamné notamment pour actes d’ordre sexuel avec des enfants (art. 187, ch. 1), contrainte sexuelle (art. 189), viol (art. 190), actes d’ordre sexuel commis sur une personne incapable de discernement ou de résistance (art. 191), quelle que soit la quotité de la peine prononcée à son encontre, pour une durée de cinq à quinze ans (al. 1 let. h).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 L'art. 66a al. 2 CP est formulé comme une norme potestative (" Kannvorschrift "), en ce sens que le juge n'a pas l'obligation de renoncer à l'expulsion, mais peut le faire si les conditions fixées par cette</w:t>
      </w:r>
    </w:p>
    <w:p>
      <w:r>
        <w:t>- 27 -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peut librement décider d'appliquer ou non l'exception de l'art. 66a al. 2 CP. Il doit faire usage du pouvoir d'appréciation qui lui est conféré par une norme potestative dans le respect des principes constitutionnels. Il s'ensuit que le juge doit renoncer à l'expulsion lorsque les conditions de l'art. 66a al. 2 CP sont réunies, conformément au principe de proportionnalité (cf. TF 6B_209/2018 du 23 novembre 2018 destiné à la publication, consid. 3.3 et les réf. citées). La loi ne définit pas ce qu'il faut entendre par une "situation personnelle grave" (première condition cumulative) ni n'indique les critères à prendre en compte dans la pesée des intérêts (seconde condition cumulative). Ni le Message ni les débats parlementaires n'apportent d'éléments véritablement utiles à l'interprétation de l'art. 66a al. 2 CP. Il en ressort essentiellement que le législateur a voulu réglementer de manière restrictive les éventuelles exceptions à l'expulsion et réduire autant que possible le pouvoir d'appréciation du juge dans le cas particulier. Il n'en demeure pas moins que l'exception de l'art. 66a al. 2 CP doit servir à garantir le principe de proportionnalité (cf. TF 6B_209/2018 déjà cité, consid. 3.3.1 et les réf. citées). Pour définir le cas de rigueur, la doctrine préconise généralement de s'inspirer des critères énoncés à l'art. 31 de l'ordonnance relative à l'admission, au séjour et à l'exercice d'une activité lucrative (OASA; RS 142.201). Cette disposition prévoit, en application des art. 30 al. 1 let. b et 50 al. 1 let. b LEtr,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w:t>
      </w:r>
    </w:p>
    <w:p>
      <w:r>
        <w:t>- 28 - scolarité des enfants, de la situation financière ainsi que de la volonté de prendre part à la vie économique et d'acquérir une formation, de la durée de la présence en Suisse, de l'état de santé ainsi que des possibilités de réintégration dans l'Etat de provenance. Des auteurs considèrent qu'il y a également lieu de tenir compte de certains éléments propres au droit pénal, telles que les perspectives de réinsertion de l'auteur.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et de la jurisprudence y relative dans le cadre de l'application de l'art. 66a al. 2 CP. Comme la liste de l'art. 31 al. 1 OASA n'est pas exhaustive et que l'expulsion relève du droit pénal, le juge devra également, dans l'examen du cas de rigueur, tenir compte des perspectives de réinsertion sociale du condamné (TF 6B_209/2018 déjà cité, consid. 3.3.2 et les réf. citées). Dans l'appréciation du cas de rigueur, l'art. 66a al. 2e phrase CP impose expressément de prendre en considération la situation particulière de l'étranger qui est né ou qui a grandi en Suisse.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Pour les étrangers issus de la deuxième génération qui ont commis plusieurs infractions, mais pour qui les condamnations n'ont pas (encore) constitué un cas de révocation de l'autorisation (cf. art. 62 et 63 LEtr),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Les critères</w:t>
      </w:r>
    </w:p>
    <w:p>
      <w:r>
        <w:t>- 29 - développés en lien avec la révocation de l'autorisation d'établissement d'un étranger issu de la deuxième génération qui a commis des infractions sont pertinents pour interpréter l'art. 66a al. 2e phrase CP en tant qu'ils concrétisent les exigences du principe de proportionnalité (art. 5 al. 2 Cst.). Il convient toutefois de garder à l'esprit que l'adoption de l'art. 121 al. 3-6 Cst. puis des art. 66a et ss CP visait à renforcer le régime existant dans ce domaine (TF 6B_209/2018 déjà cité, consid. 3.3.3 et les réf. citées).</w:t>
      </w:r>
    </w:p>
    <w:p>
      <w:r>
        <w:rPr>
          <w:b/>
        </w:rPr>
        <w:t>E. 5.2</w:t>
      </w:r>
    </w:p>
    <w:p>
      <w:r>
        <w:t>En l'espèce, le prévenu, âgé de 24 ans et demi, est né en [...] où il a vécu auprès de sa grand-mère maternelle, qui s'y trouve encore. Il vit en Suisse depuis 2005, soit depuis ses dix ans, avec sa mère, ainsi que ses deux frères et sa sœur. Il parle espagnol et français. Du jugement du Tribunal des mineurs rendu en 2013, il ressort qu'il a présenté un retard scolaire important à son arrivée, qu'il a été placé en foyer d'où il a plusieurs fois fugué mais qu'il a à chaque fois réintégré de lui-même. Depuis 2010, il a vécu chez sa mère. Il a cherché une place d'apprentissage en vain, a effectué des séjours linguistiques en Allemagne, a échoué l'examen d'entrée au gymnase, a commencé l'école technique à [...] pour y suivre une formation de micro-mécanicien, étant précisé qu'il refaisait sa première année au moment des faits objets de la présente cause. Son père et ses demi-sœurs vivent toujours en [...]. Le prévenu a certes déclaré ne pas vraiment connaître son père et n'avoir que très peu de contacts avec ses demi-sœurs. Il a cependant séjourné durant trois mois avec son père, dans la maison de l'ex-épouse de ce dernier, lorsqu'il a suivi des cours d'informatique et d'anglais en [...]. Il est également retourné une autre fois dans son pays d'origine pour y passer les fêtes de Noël en famille chez sa grand-mère maternelle. Ses liens avec son pays d’origine subsistent donc. Son intégration en Suisse s'est concrétisée essentiellement par ses efforts pour rattraper ses retards scolaires et obtenir une formation professionnelle. Compte tenu du handicap qu'il avait en arrivant à l'âge de</w:t>
      </w:r>
    </w:p>
    <w:p>
      <w:r>
        <w:rPr>
          <w:b/>
        </w:rPr>
        <w:t>E. 10</w:t>
      </w:r>
    </w:p>
    <w:p>
      <w:r>
        <w:t>ans en Suisse sans parler la langue et même si son parcours est émaillé de difficultés, il y a lieu de retenir que le prévenu a la volonté de</w:t>
      </w:r>
    </w:p>
    <w:p>
      <w:r>
        <w:t>- 30 - s'intégrer du point de vue professionnel. En revanche, il a eu de la difficulté à accepter les cadres dans son adolescence. S'il n'y a pas lieu de se montrer sévère par rapport à des erreurs de jeunesse, sa condamnation par le tribunal des mineurs pour viol est grave. Combinée avec la présente affaire, elle démontre la difficulté, voire l'incapacité du prévenu à intégrer les normes sociales liées au respect des femmes et de leur intégrité sexuelle. Le prévenu a commis à nouveau une infraction grave, selon un mode opératoire très semblable à celui qu'il avait adopté quelques années plus tôt. Ses dénégations démontrent qu'il n'a pas pris conscience de la gravité de ses actes et ses explications montrent un mépris pour une jeune fille qu'il connaissait pourtant. Comme l'a relevé le Ministère public, le prévenu n'a pas su saisir la seconde chance qui lui avait été donnée alors qu'il était mineur, le SPOP l'ayant pourtant explicitement averti en 2014, alors qu’il avait 20 ans, qu'il devait faire en sorte que son comportement ne donne plus lieu à de nouvelles condamnation sous peine de voir son autorisation de séjour révoquée et son renvoi de Suisse ordonné. Dans ces circonstances, si l'on peut admettre que l'expulsion mettrait le prévenu dans une situation personnelle difficile au vu du fait qu'il a passé les années les plus importantes de sa vie en Suisse et des liens plus faibles qu'il entretient avec son pays d'origine, il y a lieu de considérer que l'intérêt à son éloignement de Suisse l'emporte sur son intérêt privé à pouvoir rester. Afin de tenir compte de ses liens avec sa famille en Suisse, la durée de l'expulsion sera fixée à 5 ans, soit la durée minimum prévue par la loi. 6. L'appelante a conclu à l'allocation en sa faveur d'une indemnité de l'art. 433 al. 1 CPP d'un montant de 8'978 fr. 35 pour la procédure de première instance. 6.1 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w:t>
      </w:r>
    </w:p>
    <w:p>
      <w:r>
        <w:t>- 31 - al. 2 CPP (let. b). La partie plaignante adresse ses prétentions à l'autorité pénale; elle doit les chiffrer et les justifier. Si elle ne s'acquitte pas de cette obligation, l'autorité pénale n'entre pas en matière sur la demande (al. 2).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CPP doit correspondre au tarif usuel du barreau applicable dans le canton où la procédure se déroule et englober la totalité des coûts de défense, de sorte à couvrir l'entier des frais de défense usuels et raisonnables; lorsqu'un tarif cantonal existe, il doit être pris en considération pour fixer le montant de l'indemnisation. Il sert de guide pour la détermination de ce qu'il faut entendre par frais de défense usuels (TF 6B_561/2014 du 11 septembre 2014 consid. 2.2.1; TF 6B_392/2013 du 4 novembre 2013 consid. 2.3). Tel est le cas dans le canton de Vaud depuis le 1er avril 2014 par l’adoption d’un nouvel art. 26a TFIP (Tarif des frais de procédure et indemnités en matière pénale du 28 septembre 2010;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w:t>
      </w:r>
    </w:p>
    <w:p>
      <w:r>
        <w:t>- 32 - par un avocat stagiaire (al. 3). Dans les causes particulièrement complexes ou nécessitant des connaissances particulières, le tarif horaire déterminant peut être augmenté jusqu’à 400 fr. (al. 4). 6.2 En l'espèce, les conditions d’octroi d’une juste indemnité à la partie plaignante sont réalisées. Il ressort de la liste d'opération produite en première instance (P. 50) que le conseil de l'appelante, bien qu'il soit de choix, a appliqué le tarif de la défense d'office (180 fr. de l'heure pour l'avocat breveté et 110 fr. de l'heure pour l'avocat-stagiaire), tout en demandant l'indemnisation de ses déplacements en fonction du temps. Il a indiqué avoir consacré à ce mandat 10.75 heures, dont 7.50 heures assumées par un avocat breveté, en 2017 et 35.85 heures, dont 33.35 heures assumées par un avocat breveté, en 2018. Compte tenu du tarif préférentiel appliqué par le conseil de choix et des opérations nécessaires à l’accomplissement du mandat, il convient d'admettre la durée du mandat telle qu'alléguée. C'est ainsi une indemnité de 8'978 fr. 35 qui doit être allouée à l'appelante pour les dépenses obligatoires occasionnées par la procédure pénale. 7. 7.1 En définitive, les appels de V.________ et du Ministère public de l'arrondissement du Nord vaudois sont admis et le jugement réformé dans le sens des considérants qui précèdent. 7.2 Dans la liste d'opérations qu'elle a produite (P. 68), Me Marianne Fabarez-Vogt, défenseur d'office de D.________, indique avoir consacré 6.8 heures à ce mandat, ce qui peut être admis. On ajoutera 2 heures pour l'audience et 1 heure pour les opérations post-jugement. C'est ainsi un mandat de 10 heures qui peut être admis pour la procédure d'appel. Au tarif horaire de 180 fr., l'indemnité allouée à Me Fabarez-Vogt s'élève ainsi à 1'800 fr., montant auquel il convient d'ajouter une vacation de 120 fr., des débours par 50 fr. et la TVA à 7,7% sur le tout par 19 fr. 75, soit un total de 1'989 fr. 75.</w:t>
      </w:r>
    </w:p>
    <w:p>
      <w:r>
        <w:t>- 33 - 7.3 La plaignante qui obtient gain de cause a droit à une indemnité pour les dépenses occasionnées par la procédure d'appel au sens de l'art. 433 CPP. Le conseil de choix, appliquant le tarif horaire d'un conseil d'office, a indiqué avoir consacré 25 heures à ce mandat, ce qui peut être admis. C'est ainsi une indemnité de 5'124 fr. 35 qui doit être allouée à V.________, à la charge du prévenu condamné. 7.4 Vu l'issue de la cause, les frais de la procédure d'appel par 5'219 fr. 75, soit l’émolument de jugement par 3'230 fr. (art. 21 al. 1 et 2 TFIP [tarif des frais de procédure et indemnités en matière pénale du 28 septembre 2010 ; BLV 312.03.1]), ainsi que l’indemnité allouée à Me Marianne Fabarez-Vogt par 1'989 fr. 75, seront mis à la charge de D.________, qui succombe (art. 428 al. 1 CPP). D.________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