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PE17.021906 vom 3. September 2018</w:t>
      </w:r>
    </w:p>
    <w:p>
      <w:r>
        <w:t>VD Tribunal cantonal, 2018-09-03, FR</w:t>
      </w:r>
    </w:p>
    <w:p>
      <w:r>
        <w:rPr>
          <w:b/>
        </w:rPr>
        <w:t xml:space="preserve">Quelle: </w:t>
      </w:r>
      <w:r>
        <w:t>https://mcp.opencaselaw.ch/entscheid/vd_gerichte_PE17.021906</w:t>
      </w:r>
    </w:p>
    <w:p>
      <w:r>
        <w:t>FR: VD_GERICHTE PE17.021906 du 3 septembre 2018</w:t>
      </w:r>
    </w:p>
    <w:p>
      <w:r>
        <w:t>IT: VD_GERICHTE PE17.021906 del 3 settembre 2018</w:t>
      </w:r>
    </w:p>
    <w:p>
      <w:pPr>
        <w:pStyle w:val="Heading2"/>
      </w:pPr>
      <w:r>
        <w:t>Erwägungen</w:t>
      </w:r>
    </w:p>
    <w:p>
      <w:r>
        <w:rPr>
          <w:b/>
        </w:rPr>
        <w:t>E. 1.1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w:t>
      </w:r>
    </w:p>
    <w:p>
      <w:r>
        <w:rPr>
          <w:b/>
        </w:rPr>
        <w:t>E. 1.2</w:t>
      </w:r>
    </w:p>
    <w:p>
      <w:r>
        <w:t>Le 19 juin 2018, le pli recommandé contenant l'avis du 11 juin 2018 du Président de la cour de céans est venu en retour au Greffe du Tribunal cantonal avec la mention « non réclamé ». Il est toutefois réputé avoir été notifié à l'issue du délai de garde de sept jours à compter de sa remise infructueuse, le recourant devant en effet s'attendre à recevoir, à l'adresse indiquée dans son recours, [...] (P. 28), des communications des autorités pénales en rapport avec l'affaire en cours (cf. art. 85 al. 4 let. a CPP; CREP 4 janvier 2018/4). Le recourant n’a pas procédé à l’avance de frais requise dans le délai imparti. Il n’a pas non plus demandé de prolongation ou de restitution du délai. Pour ce motif déjà, le recours est irrecevable.</w:t>
      </w:r>
    </w:p>
    <w:p>
      <w:r>
        <w:rPr>
          <w:b/>
        </w:rPr>
        <w:t>E. 2</w:t>
      </w:r>
    </w:p>
    <w:p>
      <w:r>
        <w:t>- 4 -</w:t>
      </w:r>
    </w:p>
    <w:p>
      <w:r>
        <w:rPr>
          <w:b/>
        </w:rPr>
        <w:t>E. 2.1</w:t>
      </w:r>
    </w:p>
    <w:p>
      <w:r>
        <w:t>Aux termes de l'art. 385 CPP, si le présent code exige que le recours soit motivé – ce qui est le cas en l'espèce en vertu de l'art. 396 al. 1 CPP –, la personne ou l’autorité qui recourt indique précisément (a) les points de la décision qu’elle attaque, (b) les motifs qui commandent une autre décision, et (c) les moyens de preuves qu’elle invoque (al. 1).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(al. 2).</w:t>
      </w:r>
    </w:p>
    <w:p>
      <w:r>
        <w:rPr>
          <w:b/>
        </w:rPr>
        <w:t>E. 2.2</w:t>
      </w:r>
    </w:p>
    <w:p>
      <w:r>
        <w:t>Le recourant n’a pas produit un écrit lisible et compréhensible dans le délai imparti, de sorte qu’il n’a pas lieu d’entrer en matière en vertu de l’art. 385 al. 2 CPP. Ce motif justifie également l’irrecevabilité du recours.</w:t>
      </w:r>
    </w:p>
    <w:p>
      <w:r>
        <w:rPr>
          <w:b/>
        </w:rPr>
        <w:t>E. 3</w:t>
      </w:r>
    </w:p>
    <w:p>
      <w:r>
        <w:t>Les frais de la procédure de recours, constitués en l'espèce du seul émolument d'arrêt, par 440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440 fr. (quatre cent quarante francs), sont laissés à la charge de l’Etat. IV. L’arrêt est exécutoire. Le président : La greffière :</w:t>
      </w:r>
    </w:p>
    <w:p>
      <w:r>
        <w:t>- 5 - Du Le présent arrêt, dont la rédaction a été approuvée à huis clos, est notifié, par l'envoi d'une copie complète, à : -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