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PE17.021593 vom 4. April 2019</w:t>
      </w:r>
    </w:p>
    <w:p>
      <w:r>
        <w:t>VD Tribunal cantonal, 2019-04-04, FR</w:t>
      </w:r>
    </w:p>
    <w:p>
      <w:r>
        <w:rPr>
          <w:b/>
        </w:rPr>
        <w:t xml:space="preserve">Quelle: </w:t>
      </w:r>
      <w:r>
        <w:t>https://mcp.opencaselaw.ch/entscheid/vd_gerichte_PE17.021593</w:t>
      </w:r>
    </w:p>
    <w:p>
      <w:r>
        <w:t>FR: VD_GERICHTE PE17.021593 du 4 avril 2019</w:t>
      </w:r>
    </w:p>
    <w:p>
      <w:r>
        <w:t>IT: VD_GERICHTE PE17.021593 del 4 aprile 2019</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(art. 13 LVCPP [loi vaudoise d’introduction du Code de procédure pénale suisse du 19 mai 2009 ; BLV 312.01]) pour statuer sur la demande de récusation présentée le 27 mars 2019, en temps utile (art. 58 al. 1 CPP). La demande de récusation est donc recevable.</w:t>
      </w:r>
    </w:p>
    <w:p>
      <w:r>
        <w:rPr>
          <w:b/>
        </w:rPr>
        <w:t>E. 2.1</w:t>
      </w:r>
    </w:p>
    <w:p>
      <w:r>
        <w:t>Le demandeur reproche à la Procureure N.________ d’avoir l’intention de rendre une ordonnance de classement en faveur de Z.________ pour vol et injure à la suite de sa plainte pénale du 18 septembre 2017. Il prétend que cette tendance révélerait un parti pris de la magistrate à son endroit. Pour le surplus, il plaide le fond, ce qui n’est pas pertinent dans le cadre d’une procédure de récusation.</w:t>
      </w:r>
    </w:p>
    <w:p>
      <w:r>
        <w:rPr>
          <w:b/>
        </w:rPr>
        <w:t>E. 2.2</w:t>
      </w:r>
    </w:p>
    <w:p>
      <w:r>
        <w:t>Selon l’art. 56 let. f CPP (Code de procédure pénale suisse du</w:t>
      </w:r>
    </w:p>
    <w:p>
      <w:r>
        <w:rPr>
          <w:b/>
        </w:rPr>
        <w:t>E. 2.3</w:t>
      </w:r>
    </w:p>
    <w:p>
      <w:r>
        <w:t>En l’espèce, l’intéressé n’expose aucun motif de récusation et on ne discerne aucun élément concret donnant lieu à une apparence de prévention. En effet, une décision ou démarche de l’autorité défavorable à une partie n’emporte pas prévention (TF 1B_105/2013 du 21 mai 2013 consid. 2.1 ; TF 1B_365/2009 du 22 mars 2010 consid. 3.3 ; CREP du 25 mars 2019/225 consid. 2.2). Le moyen du demandeur est donc manifestement infondé.</w:t>
      </w:r>
    </w:p>
    <w:p>
      <w:r>
        <w:t>- 6 - 3. Il s’ensuit que la demande de récusation déposée le 27 mars 2019 doit être rejetée. Les frais de la présente procédure, constitués du seul émolument de décision (art. 422 al. 1 CPP), par 660 fr. (art. 20 al. 1 TFIP [tarif des frais de procédure et indemnités en matière pénale du 28 septembre 2010 ; BLV 312.03.1]), seront mis à la charge du demandeur, conformément à l'art. 59 al. 4 CPP. Par ces motifs, la Chambre des recours pénale prononce : I. La demande de récusation présentée le 27 mars 2019 à l’encontre de la Procureure N.________ est rejetée. II. Les frais de la procédure de récusation, par 660 fr. (six cent soixante francs), sont mis à la charge de P.________. III. La décision est exécutoire. Le président : La greffière : Du La présente décision, dont la rédaction a été approuvée à huis clos, est notifiée, par l'envoi d'une copie complète, à : - M. [...] (pour P.________), - Ministère public central, et communiquée à : - Mme la Procureure de l’arrondissement du Nord vaudois, par l’envoi de photocopies.</w:t>
      </w:r>
    </w:p>
    <w:p>
      <w:r>
        <w:t>- 7 -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5</w:t>
      </w:r>
    </w:p>
    <w:p>
      <w:r>
        <w:t>octobre 2007 ; RS 312.0), toute personne exerçant une fonction au sein d’une autorité pénale est tenue de se récuser lorsque d’autres motifs que ceux énumérés aux lettres a à e, notamment un rapport d’amitié étroit ou d’inimitié avec une partie ou son conseil juridique, sont de nature à la</w:t>
      </w:r>
    </w:p>
    <w:p>
      <w:r>
        <w:t>- 4 -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 ATF 124 I 76 consid. 2).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w:t>
      </w:r>
    </w:p>
    <w:p>
      <w:r>
        <w:t>- 5 - tout procédé déloyal, instruire tant à charge qu'à décharge et ne point avantager une partie au détriment d'une autre (ATF 141 IV 178 consid. 3.2.2 ; 138 IV 142 consid. 2.1 ; TF 1B_46/2016 du 29 avril 2016 consid. 3.1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 ; ATF 141 IV 178, JdT 2016 IV 247 ; CREP 15 mars 2018/205).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 cit.).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p.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