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PE17.021387 vom 16. Februar 2018</w:t>
      </w:r>
    </w:p>
    <w:p>
      <w:r>
        <w:t>VD Tribunal cantonal, 2018-02-16, FR</w:t>
      </w:r>
    </w:p>
    <w:p>
      <w:r>
        <w:rPr>
          <w:b/>
        </w:rPr>
        <w:t xml:space="preserve">Quelle: </w:t>
      </w:r>
      <w:r>
        <w:t>https://mcp.opencaselaw.ch/entscheid/vd_gerichte_PE17.021387</w:t>
      </w:r>
    </w:p>
    <w:p>
      <w:r>
        <w:t>FR: VD_GERICHTE PE17.021387 du 16 février 2018</w:t>
      </w:r>
    </w:p>
    <w:p>
      <w:r>
        <w:t>IT: VD_GERICHTE PE17.021387 del 16 febbraio 2018</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Kuhn/Jeanneret [éd.], Commentaire romand, Code de procédure pénale suisse, Bâle 2011, n. 5 ad art. 356 CPP ; Riklin, in : Niggli/Heer/Wiprächtiger [éd.], Basler Kommentar, Schweizerische Strafprozessordnung, Jugendstrafprozessordnung, 2e éd., Bâle 2014, n. 2 ad art. 356 CPP ; CREP 9 septembre 2016/605 ; CREP 30 décembre 2014/925).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(cf. art. 384 let. b CPP), à l’autorité de recours (art. 396 al. 1 CPP). En l’espèce, interjeté en temps utile devant l’autorité compétente par le prévenu qui a qualité pour recourir (art. 382 al. 1 CPP) et dans les formes prescrites (art. 385 al. 1 CPP), le recours est recevable.</w:t>
      </w:r>
    </w:p>
    <w:p>
      <w:r>
        <w:rPr>
          <w:b/>
        </w:rPr>
        <w:t>E. 2.1</w:t>
      </w:r>
    </w:p>
    <w:p>
      <w:r>
        <w:t>A teneur de l'art. 353 al. 3 CPP, l'ordonnance pénale est immédiatement notifiée par écrit aux personnes et aux autorités qui ont qualité pour former opposition. Le prévenu peut faire opposition à l'ordonnance pénale devant le ministère public, par écrit, dans les 10 jours (art. 354 al. 1 let. a CPP). Si aucune opposition n'est valablement formée, l'ordonnance pénale est assimilée à un jugement entré en force (art. 354</w:t>
      </w:r>
    </w:p>
    <w:p>
      <w:r>
        <w:t>- 5 -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Les autorités pénales notifient leurs prononcés par lettre signature ou par tout autre mode de communication impliquant un accusé de réception, notamment par l'entremise de la police (art. 85 al. 2 CPP). Selon l'art. 85 al. 4 let. a CPP,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1er janvier 2011 (TF 6B_1032/2015 du 25 mai 2016 consid. 1 ; TF 6B_1088/2013 du 12 mai 2014 consid. 1.2; TF 6B_314/2012 du 18 février 2013 consid. 1.2; 6B_158/2012 du 27 juillet 2012 consid. 3.2 ; TF 6B_422/2011 du 7 octobre 2011 consid. 1.1 ; cf. ATF 130 III 396 consid. 1.2.3).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TF 6B_314/2012 du 18 février 2013 consid. 1.3.1). Selon la jurisprudence, le fardeau de la preuve de la notification et de la date de celle-ci incombe en principe à l'autorité qui entend en tirer une conséquence juridique (ATF 129 I 8 consid. 2.2 et les références citées). Un envoi recommandé qui n'a pas pu être distribué est réputé notifié le dernier jour du délai de garde de sept jours suivant la remise de l'avis d'arrivée dans la boîte à lettres ou dans la case postale de</w:t>
      </w:r>
    </w:p>
    <w:p>
      <w:r>
        <w:t>- 6 - son destinataire, pour autant que celui-ci ait dû s'attendre, avec une certaine vraisemblance, à recevoir une communication de l'autorité (ATF 134 V 49 consid. 4 ; ATF 130 III 396 consid. 1.2.3 ; ATF 123 III 492 consid. 1 ; ATF 119 V 89 consid. 4b/aa). Cette approche est désormais reprise à l’art. 85 al. 4 CPP. La notification consiste à faire parvenir l'information dans la sphère de compétence du destinataire. Son existence ne peut être retenue que s'il est établi qu'une invitation à retirer un pli recommandé a bien été déposée dans la boîte à lettres du destinataire. Il n'y a dès lors pas d'opposition à une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à lettres, elle ignore de bonne foi qu'un tel envoi est conservé à son attention au bureau de poste de son domicile (TF 6B_422/2011 précité ; TF 8C_621/2007 du 5 mai 2008 consid. 4.2 ; TF 6A.100/2006 du 28 mars 2007 consid. 2.2.1). La jurisprudence établit une présomption de fait - réfragable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(TF 6B_422/2011 précité ; TF 9C_753/2007 du 29 août 2008 consid. 3, in RSPC 2009 p. 24). Le délai de garde de sept jours commence alors à courir et, à son terme, la notification est réputée avoir lieu (fiction), avec les conséquences procédurales que cela implique (ATF 141 II 429). Du fait notamment que l'absence de remise constitue un fait négatif, le destinataire ne doit cependant pas en apporter la preuve stricte. Il suffit d'établir qu'il existe une vraisemblance prépondérante que des erreurs se soient produites lors</w:t>
      </w:r>
    </w:p>
    <w:p>
      <w:r>
        <w:t>- 7 - de la notification (TF 6B_422/2011 précité ; TF 2C_38/2009 du 5 juin 2009 consid. 4.1).</w:t>
      </w:r>
    </w:p>
    <w:p>
      <w:r>
        <w:rPr>
          <w:b/>
        </w:rPr>
        <w:t>E. 2.2</w:t>
      </w:r>
    </w:p>
    <w:p>
      <w:r>
        <w:t>En l’occurrence, le recourant ne fait pas valoir qu’il ne devait pas s’attendre à recevoir une communication des autorités pénales. A raison, dans la mesure où il avait été informé par la police d’une procédure le concernant et de sa qualité de prévenu. Il invoque exclusivement le fait qu’il n’aurait pas reçu dans sa boîte d’avis l’informant qu’un pli le concernant pouvait être retiré à la poste ; il prétend que, s’il l’avait reçu, il aurait fait opposition immédiatement comme il l’a fait lorsqu’il a eu connaissance de l’ordonnance litigieuse quelques jours plus tard, par l’intermédiaire d’un courrier du Service des automobiles ; il estime au demeurant que l’explication fournie par la poste est sibylline, en ce sens que, s’il n’y a ni sonnette ni interphone, il doit y avoir une porte fermée et que, dans ces conditions, on voit mal comment le facteur aurait pu déposer un avis puisque les boîtes aux lettres sont à l’intérieur de l’immeuble. Enfin, il fait valoir que la poste peut commettre des erreurs et fournit, à titre d’exemple, deux cas de mauvaise distribution ayant concerné son avocat. En conclusion, il estime que le doute doit lui profiter, et que son opposition doit être considérée comme recevable.</w:t>
      </w:r>
    </w:p>
    <w:p>
      <w:r>
        <w:rPr>
          <w:b/>
        </w:rPr>
        <w:t>E. 2.3</w:t>
      </w:r>
    </w:p>
    <w:p>
      <w:r>
        <w:t>En l’espèce, il ressort du suivi électronique des envois postaux que le recourant a été avisé le 17 novembre 2017, à 12h36, qu’un pli recommandé était à sa disposition à l’office de poste, et que le délai de garde se terminait le 24 novembre 2017 (P. 81). Dans ces circonstances, et conformément à la jurisprudence précitée, il appartient au recourant de renverser la présomption selon laquelle ce suivi est exact. A cet effet, en première instance, il a produit des photographies, censées établir que son défenseur, Me Rossy, avait reçu dans sa boîte à lettres, [...], des courriers destinés à deux voisins domiciliés sur la même rue, et requis l’audition de ces deux personnes en qualité de témoin (P. 85). En seconde instance, il ne réitère pas cette réquisition. A supposer que l’erreur du facteur [...] soit prouvée par les photographies fournies – ce qu’il n’est pas nécessaire de trancher – cela ne suffirait pas pour renverser ladite présomption, puisqu’il ne s’agit pas de la même commune, ni a fortiori des mêmes employés</w:t>
      </w:r>
    </w:p>
    <w:p>
      <w:r>
        <w:t>- 8 - postaux ou du même immeuble. Quant à la détermination de la poste du 9 janvier 2018, contrairement à ce que soutient le recourant, elle confirme les indications figurant sur le suivi électronique des envois ; elle signifie que, quand il n’y a ni sonnette ni interphone, les facteurs ont pour consigne de mettre directement l’avis de retrait dans la boîte, ce qui est logique car, dans cette hypothèse, on voit mal comment le destinataire pourrait être atteint personnellement et signer un accusé de réception; même si l’expression utilisée n’est pas des plus heureuses en français (« les collaborateurs avisent d’office les envois à remettre contre signature »), le terme « aviser » ne peut avoir d’autre signification que celle de mettre un avis de retrait dans la boîte aux lettres. On peut à cet égard renvoyer au contenu des conditions générales « Prestations du service postal » pour les clients privés qui prévoit, à son chiffre 2.5.7, que « La Poste établit un avis de retrait lorsque, en raison de la prestation choisie par l’expéditeur ou de leurs dimensions, les envois doivent être remis personnellement au destinataire ou aux personnes habilitées à prendre livraison de ces envois, mais que ces personnes ne peuvent être atteintes » (cf. https://www.post.ch/fr/pages/footer/conditions-generales- cg). Imaginer, comme le fait le recourant, que la remise d’un avis pour retrait pourrait signifier que le collaborateur ramènerait le pli à la poste en avisant le guichet qu’il s’agit de le remettre contre signature est fantaisiste. C’est du reste aller à l’encontre du sens de la détermination de la Poste elle-même, dans laquelle l’institution confirme qu’il n’y a pas eu de confusion possible avec un autre locataire portant un nom similaire ; cette remarque n’aurait pas eu de sens si le facteur n’avait pas déposé d’avis de retrait dans la boîte aux lettres de l’intéressé. Enfin, le fait que le facteur ne puisse prétendument pas entrer dans l’immeuble pour accéder aux boîtes aux lettres n’est pas rendu vraisemblable, ni plausible. Il ne saurait être déduit de l’inexistence de sonnette ou d’interphone. Il est au demeurant notoire que, dans les immeubles dont la porte d’entrée est munie d’un code, les facteurs en disposent ; dans le cas contraire, ils ne pourraient remplir leur office.</w:t>
      </w:r>
    </w:p>
    <w:p>
      <w:r>
        <w:rPr>
          <w:b/>
        </w:rPr>
        <w:t>E. 2.4</w:t>
      </w:r>
    </w:p>
    <w:p>
      <w:r>
        <w:t>Au vu de ce qui précède, le pli recommandé contenant l’ordonnance pénale du 16 novembre 2017 n’ayant pas été retiré par le</w:t>
      </w:r>
    </w:p>
    <w:p>
      <w:r>
        <w:t>- 9 - recourant au guichet de la poste dans le délai de garde de sept jours, à l’échéance de celui-ci, le 24 novembre 2017, cette ordonnance était réputée notifiée en application de l’art. 85 al. 4 CPP. Partant, le recourant disposait d’un délai au 4 décembre 2017 (cf. art. 90 CPP) pour former opposition conformément à l’art. 354 al. 1 CPP. Or, L.________ a déposé celle-ci le lendemain, soit le 5 décembre 2017. Son opposition devant être considérée comme tardive, c’est à bon droit que le tribunal de police l’a déclarée irrecevable. Enfin, comme l’a indiqué le Ministère public lorsqu’il a adressé un second envoi de l’ordonnance pénale (en courrier A ou B), ce nouvel envoi n’a pas fait courir un nouveau délai d’opposition, ce que le recourant ne soutient au demeurant pas (cf. CREP 19 février 2014/135 ; CREP 9 janvier 2014/9).</w:t>
      </w:r>
    </w:p>
    <w:p>
      <w:r>
        <w:rPr>
          <w:b/>
        </w:rPr>
        <w:t>E. 3</w:t>
      </w:r>
    </w:p>
    <w:p>
      <w:r>
        <w:t>En définitive, le recours, manifestement mal fondé, doit être rejeté sans autre échange d’écritures (art. 390 al. 2 CPP) et le prononcé du 22 janvier 2018 confirmé. Cela étant, il n’est pas nécessaire, comme le requiert le recourant, d’interpeller le tribunal de police. Les frais de la procédure de recours, constitués en l’espèce du seul émolument d'arrêt, par 990 fr. (art. 20 al. 1 TFIP [tarif des frais de procédure et indemnités en matière pénale du 28 septembre 2010; RSV 312.03.1]) seront mis à la charge du recourant, qui succombe (art. 428 al. 1 CPP).</w:t>
      </w:r>
    </w:p>
    <w:p>
      <w:r>
        <w:t>- 10 - Par ces motifs, la Chambre des recours pénale prononce : I. Le recours est rejeté. II. Le prononcé du 22 janvier 2018 est confirmé. III. Les frais d’arrêt, par 990 fr. (neuf cent nonante francs), sont mis à la charge du recourant. IV. L’arrêt est exécutoire. Le président : La greffière : Du Le présent arrêt, dont la rédaction a été approuvée à huis clos, est notifié, par l'envoi d'une copie complète, à : - Me Philippe Rossy, avocat (pour L.________), - Ministère public central, et communiqué à : - Mme la Présidente du Tribunal d’arrondissement de Lausanne, - Mme la Procureure de l’arrondissement de Lausanne,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