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PE17.021261 vom 9. August 2018</w:t>
      </w:r>
    </w:p>
    <w:p>
      <w:r>
        <w:t>VD Tribunal cantonal, 2018-08-09, FR</w:t>
      </w:r>
    </w:p>
    <w:p>
      <w:r>
        <w:rPr>
          <w:b/>
        </w:rPr>
        <w:t xml:space="preserve">Quelle: </w:t>
      </w:r>
      <w:r>
        <w:t>https://mcp.opencaselaw.ch/entscheid/vd_gerichte_PE17.021261</w:t>
      </w:r>
    </w:p>
    <w:p>
      <w:r>
        <w:t>FR: VD_GERICHTE PE17.021261 du 9 août 2018</w:t>
      </w:r>
    </w:p>
    <w:p>
      <w:r>
        <w:t>IT: VD_GERICHTE PE17.021261 del 9 agosto 2018</w:t>
      </w:r>
    </w:p>
    <w:p>
      <w:pPr>
        <w:pStyle w:val="Heading2"/>
      </w:pPr>
      <w:r>
        <w:t>Erwägungen</w:t>
      </w:r>
    </w:p>
    <w:p>
      <w:r>
        <w:rPr>
          <w:b/>
        </w:rPr>
        <w:t>E. 22</w:t>
      </w:r>
    </w:p>
    <w:p>
      <w:r>
        <w:t>mars 2012 consid. 3.1.1). Le principe "in dubio pro duriore" exige donc simplement qu'en cas de doute, la procédure se poursuive. Pratiquement, une mise en accusation s'impose lorsqu'une condamnation apparaît plus vraisemblable qu'un acquittement (ATF 138 IV 86 consid. 4.1.1; ATF 138 IV 186 consid. 4.1; ATF 137 IV 219 consid. 7; TF 1B_272/2011 du 22 mars 2012 consid. 3.1.1). 2.2 Aux termes de l'art. 303 ch. 1 al. 1 CP (Code pénal du 21 décembre 1937;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ATF 75 IV 78). L'infraction est intentionnelle. L'auteur doit savoir que la personne visée par la dénonciation est innocente, comme c'est le cas pour la calomnie. Le dol éventuel est exclu (Dupuis et alii, op. cit., nn. 22-23 ad art. 303 CP; ATF 136 IV 170 consid. 2.1; TF 6B_32/2011 du 24 février 2011 consid. 1.1). 2.3 Le décès du prévenu durant la procédure constitue un empêchement de procéder, qui conduit à un classement de la procédure (art. 329 al. 4 CPP par analogie; Winzap, Commentaire romand, Code de procédure pénale suisse, Bâle 2011, n. 7 ad art. 329 CPP). En effet, les sanctions fondées sur le droit pénal visent personnellement l'auteur d'actes pénalement répréhensibles si bien que la mort du prévenu, de l'accusé ou du condamné met fin à la poursuite pénale dirigée contre lui (TF 6B_459/2008 du 20 mai 2009 consid. 3.3.2.1 et les références citées), le principe de la personnalité des peines interdisant de poursuivre pénalement les héritiers du délinquant défunt (Piquerez/Macaluso, Procédure pénale suisse, 3e éd., 2011, n. 1557).</w:t>
      </w:r>
    </w:p>
    <w:p>
      <w:r>
        <w:t>- 6 - 2.4 En l’espèce, de manière surprenante, le Procureur a rendu une ordonnance de classement sans avoir entendu les prévenues sur les raisons pour lesquelles une plainte avait été déposée en contradiction avec leur propre enregistrement vidéo. Cela étant, le raisonnement consistant à admettre que la plainte pénale pour violation de domicile n’avait pas été déposée de mauvaise foi en raison du fait que F.________ aurait ressenti la présence de J.________ comme une intrusion est plus que douteux, et le fait qu’il existait une relation conflictuelle entre les intéressés, que cette prévenue ait apporté l’enregistrement vidéo comme preuve ou encore qu’elle ait eu un certain ressenti ne justifiait aucunement le dépôt d’une plainte pénale infondée contre le recourant. On comprend d’autant moins pour quelle raison la procédure a été classée s’agissant de B.________, la décision attaquée ne mentionnant même pas qu’elle aurait également ressenti la présence du prévenu sur le pas de la porte du studio loué par sa mère comme une intrusion. Les éléments constitutifs d’une dénonciation calomnieuse et éventuellement d’une complicité paraissent réunis à ce stade et, partant, les conditions d’un classement ne le sont pas, de sorte que l’instruction doit se poursuivre. Quant à F.________, la Cour de céans doit constater d'office que le décès de cette dernière a pour effet de mettre fin à l'action pénale dirigée contre elle. 3. Au vu de ce qui précède, le recours doit être admis, l’ordonnance du 10 avril 2018 annulée en tant qu’elle ordonne le classement de la procédure pénale dirigée contre B.________ pour complicité de dénonciation calomnieuse, le dossier de la cause étant renvoyé au Ministère public de l’arrondissement de l’Est vaudois pour complément d’instruction au sens des considérants qui précèdent. Pour le surplus, il est mis fin à l’action pénale dirigée contre F.________. Les frais de la procédure de recours, constitués en l'espèce du seul émolument d'arrêt, par 660 fr. (art. 422 al. 1 CPP et 20 al. 1 TFIP [Tarif des frais de procédure et indemnités en matière pénale du 28</w:t>
      </w:r>
    </w:p>
    <w:p>
      <w:r>
        <w:t>- 7 - septembre 2010; RSV 312.03.01]), seront laissés à la charge de l'Etat (art. 423 al. 1 CPP). Le montant de 550 fr. versé par le recourant à titre de sûreté lui sera restitué (art. 7 TFIP). Par ces motifs, la Chambre des recours pénale prononce : I. Le recours est admis. II. Il est mis fin à l’action pénale dirigée contre F.________. III. L’ordonnance du 10 avril 2018 est annulée en tant qu’elle ordonne le classement de la procédure pénale dirigée contre B.________ pour complicité de dénonciation calomnieuse. IV. Le dossier de la cause est renvoyé au Ministère public de l'arrondissement de l’Est vaudois pour complément d’instruction au sens des considérants. V. Les frais du présent arrêt, par 660 fr. (six cent soixante francs), sont laissés à la charge de l'Etat. VI. Le montant de 550 fr. (cinq cent cinquante francs) versé par J.________ à titre de sûretés lui est restitué. VII. L’arrêt est exécutoire. Le président : Le greffier : Du Le présent arrêt, dont la rédaction a été approuvée à huis clos, est notifié, par l'envoi d'une copie complète, à : - M. J.________, - Mme B.________, - Ministère public central,</w:t>
      </w:r>
    </w:p>
    <w:p>
      <w:r>
        <w:t>- 8 -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