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PE17.021070 vom 23. Oktober 2019</w:t>
      </w:r>
    </w:p>
    <w:p>
      <w:r>
        <w:t>VD Tribunal cantonal, 2019-10-23, FR</w:t>
      </w:r>
    </w:p>
    <w:p>
      <w:r>
        <w:rPr>
          <w:b/>
        </w:rPr>
        <w:t xml:space="preserve">Quelle: </w:t>
      </w:r>
      <w:r>
        <w:t>https://mcp.opencaselaw.ch/entscheid/vd_gerichte_PE17.021070</w:t>
      </w:r>
    </w:p>
    <w:p>
      <w:r>
        <w:t>FR: VD_GERICHTE PE17.021070 du 23 octobre 2019</w:t>
      </w:r>
    </w:p>
    <w:p>
      <w:r>
        <w:t>IT: VD_GERICHTE PE17.021070 del 23 ottobre 2019</w:t>
      </w:r>
    </w:p>
    <w:p>
      <w:pPr>
        <w:pStyle w:val="Heading2"/>
      </w:pPr>
      <w:r>
        <w:t>Erwägungen</w:t>
      </w:r>
    </w:p>
    <w:p>
      <w:r>
        <w:rPr>
          <w:b/>
        </w:rPr>
        <w:t>E. 1</w:t>
      </w:r>
    </w:p>
    <w:p>
      <w:r>
        <w:t>D’office et sur plainte de P.________, F.________, W.________ et X.________, le Ministère public de l'arrondissement de l’Est vaudois a ouvert une enquête pénale à l'encontre de [...] pour faux dans les titres. 351</w:t>
      </w:r>
    </w:p>
    <w:p>
      <w:r>
        <w:t>- 2 -</w:t>
      </w:r>
    </w:p>
    <w:p>
      <w:r>
        <w:rPr>
          <w:b/>
        </w:rPr>
        <w:t>E. 2</w:t>
      </w:r>
    </w:p>
    <w:p>
      <w:r>
        <w:t>Par ordonnance du 5 septembre 2019, le Ministère public a ordonné le classement de la procédure pénale dirigée contre [...], pour faux dans les titres (I), a dit qu’il n’y avait pas lieu d’octroyer à ce dernier une indemnité au sens de l’art. 429 CPP (Code de procédure pénale suisse du 5 octobre 2007 ; RS 312.0) (II) et a laissé les frais de procédure à la charge de l’Etat (III).</w:t>
      </w:r>
    </w:p>
    <w:p>
      <w:r>
        <w:rPr>
          <w:b/>
        </w:rPr>
        <w:t>E. 3</w:t>
      </w:r>
    </w:p>
    <w:p>
      <w:r>
        <w:t>Par acte du 16 septembre 2019, P.________, F.________, W.________ et X.________, agissant conjointement sous la plume de leur conseil de choix, ont recouru contre cette ordonnance. Par acte du même jour, les recourants ont déclaré retirer leur recours. Il y a lieu d'en prendre acte et de rayer la cause du rôle.</w:t>
      </w:r>
    </w:p>
    <w:p>
      <w:r>
        <w:rPr>
          <w:b/>
        </w:rPr>
        <w:t>E. 4</w:t>
      </w:r>
    </w:p>
    <w:p>
      <w:r>
        <w:t>Les frais de la procédure de recours, par 220 fr. (art. 20 al. 1 TFIP [Tarif des frais de procédure et indemnités en matière pénale du 28 septembre 2010 ; BLV 312.03.1]), seront mis à la charge des recourants (art. 428 al. 1, seconde phrase, CPP), par un quart chacun et solidairement entre eux (418 al. 2 CPP). Par ces motifs, la Chambre des recours pénale prononce : I. Il est pris acte du retrait du recours. II. La cause est rayée du rôle. III. Les frais d'arrêt, par 220 fr. (deux cent vingt francs), sont mis à la charge de P.________, F.________, W.________ et X.________, par un quart chacun et solidairement entre eux. IV. L’arrêt est exécutoire.</w:t>
      </w:r>
    </w:p>
    <w:p>
      <w:r>
        <w:t>- 3 - Le président : Le greffier : Du Le présent arrêt, dont la rédaction a été approuvée à huis clos, est notifié, par l'envoi d'une copie complète, à : - Me Damien Hottelier, avocat (pour F.________, P.________, W.________ et X.________), - Ministère public central, et communiqué à : - M. le Procureur de l’arrondissement de l’Est vaudois, - Me Jean-Marc Courvoisier,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