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PE17.020205 vom 2. Juli 2020</w:t>
      </w:r>
    </w:p>
    <w:p>
      <w:r>
        <w:t>VD Tribunal cantonal, 2020-07-02, FR</w:t>
      </w:r>
    </w:p>
    <w:p>
      <w:r>
        <w:rPr>
          <w:b/>
        </w:rPr>
        <w:t xml:space="preserve">Quelle: </w:t>
      </w:r>
      <w:r>
        <w:t>https://mcp.opencaselaw.ch/entscheid/vd_gerichte_PE17.020205</w:t>
      </w:r>
    </w:p>
    <w:p>
      <w:r>
        <w:t>FR: VD_GERICHTE PE17.020205 du 2 juillet 2020</w:t>
      </w:r>
    </w:p>
    <w:p>
      <w:r>
        <w:t>IT: VD_GERICHTE PE17.020205 del 2 luglio 2020</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ayant clos la procédure (art. 398 CPP), l’appel est recevable.</w:t>
      </w:r>
    </w:p>
    <w:p>
      <w:r>
        <w:rPr>
          <w:b/>
        </w:rPr>
        <w:t>E. 1.2</w:t>
      </w:r>
    </w:p>
    <w:p>
      <w:r>
        <w:t>L’art. 406 al. 2 CPP permet à l’autorité de traiter l’appel en procédure écrite avec l’accord des parties lorsque la présence aux débats du prévenu n’est pas indispensable (let. a) ou lorsque l’appel est dirigé contre des jugements rendus par un juge unique (let. b), ce qui est le cas en l’espèce.</w:t>
      </w:r>
    </w:p>
    <w:p>
      <w:r>
        <w:rPr>
          <w:b/>
        </w:rPr>
        <w:t>E. 1.3</w:t>
      </w:r>
    </w:p>
    <w:p>
      <w:r>
        <w:t>Par ordonnance pénale du 14 juillet 2017 (cause AM17.013254-HNI), le Ministère public de l’arrondissement de l’Est vaudois a condamné D.________ à une peine privative de liberté de cent trente jours pour séjour illégal (08.07.2017). Par ordonnance pénale du 24 novembre 2017 (cause PE17.023567-NKS), le Ministère public de l’arrondissement de l’Est vaudois a condamné D.________ à une peine privative de liberté de cinquante jours pour vol (08.07.2017). Le sursis accordé le 15 décembre 2015 par le Ministère public/Parquet général – Greffe Neuchâtel a de plus été révoqué. Par ordonnance pénale du 6 décembre 2017 (cause PE17.020205-NKS), le Ministère public de l’arrondissement de l’Est vaudois a condamné D.________ à une amende de 500 fr. pour insoumission à une décision de l’autorité, séjour illégal (30.09.2017) et contravention à la LStup (30.09.2017). Par courrier du 22 novembre 2019, D.________ a fait opposition en temps utile aux trois ordonnances pénales précitées, entraînant leur caducité. Par ordonnance de jonction du 10 janvier 2020, les causes référencées sous AM17.013254-HNI et PE17.023567-NKS ont été jointes sous la référence PE17.020205-NKS (désormais PE17.020205- LRC/NMO), soit celle faisant l'objet de la présente procédure.</w:t>
      </w:r>
    </w:p>
    <w:p>
      <w:r>
        <w:rPr>
          <w:b/>
        </w:rPr>
        <w:t>E. 2</w:t>
      </w:r>
    </w:p>
    <w:p>
      <w:r>
        <w:t>La juridiction d’appel jouit d’un plein pouvoir d’examen sur tous les points attaqués du jugement (art. 398 al. 2 CPP). Selon l’art. 398 al. 3 CPP, l’appel peut être formé pour violation du droit, y compris l’excès</w:t>
      </w:r>
    </w:p>
    <w:p>
      <w:r>
        <w:t>- 7 -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2.1</w:t>
      </w:r>
    </w:p>
    <w:p>
      <w:r>
        <w:t>Du 16 février 2017 (soit au lendemain de la période retenue à l’appui de sa précédente condamnation du 15 mars 2017) au 8 septembre 2017, dans la région de [...] notamment, D.________ a persisté à séjourner sur le territoire helvétique sans autorisation. Plus particulièrement, durant cette période, il a été interpellé en date du 8 septembre 2017 à [...] en violation d’une décision</w:t>
      </w:r>
    </w:p>
    <w:p>
      <w:r>
        <w:t>- 6 - d’interdiction de pénétrer sur le territoire de la République et Canton de Neuchâtel du 15 mars 2017.</w:t>
      </w:r>
    </w:p>
    <w:p>
      <w:r>
        <w:rPr>
          <w:b/>
        </w:rPr>
        <w:t>E. 2.2</w:t>
      </w:r>
    </w:p>
    <w:p>
      <w:r>
        <w:t>A [...] le 8 juillet 2017, vers 5 h 00, dans le cadre du [...], D.________ a dérobé le porte-monnaie de T.________, lequel se trouvait dans son sac à main et contenait notamment la somme de 89 fr. 30 (dont un billet de 50 fr., un de 20 fr., un de 10 fr. et de la monnaie), retrouvée sur D.________ au moment de son interpellation. D.________ n’a pas déposé plainte.</w:t>
      </w:r>
    </w:p>
    <w:p>
      <w:r>
        <w:rPr>
          <w:b/>
        </w:rPr>
        <w:t>E. 2.3</w:t>
      </w:r>
    </w:p>
    <w:p>
      <w:r>
        <w:t>Du 3 juillet 2017 au 8 septembre 2017, à tout le moins, dans la région de La [...] notamment, D.________ a consommé régulièrement de la marijuana. En d roit : 1.</w:t>
      </w:r>
    </w:p>
    <w:p>
      <w:r>
        <w:rPr>
          <w:b/>
        </w:rPr>
        <w:t>E. 3.1</w:t>
      </w:r>
    </w:p>
    <w:p>
      <w:r>
        <w:t>L’appelant conteste avoir dérobé le porte-monnaie de T.________. A supposer qu’on puisse retenir que tel fut le cas, il faudrait selon lui faire application de l’art. 172ter CP (Code pénal suisse du 21 décembre 1937 ; RS 311.0) et retenir qu’il s’agissait d’un vol d’importance mineure, poursuivi uniquement sur plainte. Au vu de l’absence de plainte déposée par T.________, l’infraction ne serait pas punissable.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w:t>
      </w:r>
    </w:p>
    <w:p>
      <w:r>
        <w:t>- 8 -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Jeanneret et al. [édit.], Commentaire romand, Code de procédure pénale suisse, 2e éd., Bâle 2019, n. 34 ad art. 10 CPP).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 ATF 144 IV 345 consid. 2.2.3.3 ; ATF 143 IV 500 consid. 1.1, JdT 2017 I 325).</w:t>
      </w:r>
    </w:p>
    <w:p>
      <w:r>
        <w:rPr>
          <w:b/>
        </w:rPr>
        <w:t>E. 3.2.2</w:t>
      </w:r>
    </w:p>
    <w:p>
      <w:r>
        <w:t>Aux termes de l’art. 139 ch. 1 CP, celui qui, pour se procurer ou procurer à un tiers un enrichissement illégitime, aura soustrait une</w:t>
      </w:r>
    </w:p>
    <w:p>
      <w:r>
        <w:t>- 9 - chose mobilière appartenant à autrui dans le but de se l’approprier sera puni d’une peine privative de liberté de cinq ans au plus ou d’une peine pécuniaire. L'art. 172ter al. 1 CP prévoit que si l'acte ne visait qu'un élément patrimonial de faible valeur ou un dommage de moindre importance, l'auteur sera, sur plainte, puni d'une amende. Un élément patrimonial est de faible valeur au sens de cette disposition, s'il ne vaut pas plus que 300 fr. (ATF 142 IV 129 consid. 3.1 ; ATF 123 IV 155 consid. 1a, JdT 1998 IV 170 ; ATF 123 IV 113 consid. 3d). Selon la jurisprudence, c'est l'intention qui est déterminante et non le résultat obtenu. L'art. 172ter CP n'est applicable que si l'auteur n'avait d'emblée en vue qu'un élément patrimonial de faible valeur (ATF 123 IV 155 consid. 1a ; ATF 122 IV 156 consid. 2a, JdT 1997 IV 120, SJ 1996 602 ; TF 6B_497/2020 du 3 novembre 2020 consid. 2.1.2 ; TF 6B_158/2018 du 14 juin 2018 consid. 2.2). Lorsque l'intention de l'auteur, y compris sous la forme du dol éventuel, portait sur un montant supérieur à la valeur limite admise, l'art. 172ter CP ne trouve pas application, même si le montant du délit est inférieur à 300 fr. (ATF 123 IV 197 consid. 2a, JdT 1999 IV 66 ; ATF 123 IV 113 consid. 3f ; TF 6B_859/2018 du 3 octobre 2018 consid. 2.1 ; TF 6B_446/2018 du 17 juillet 2018 consid. 3.1). De jurisprudence constante, lorsque l'auteur s'empare d'un porte-monnaie, un produit de l'infraction de plus de 300 fr. peut entrer en considération. Sans indices contraires concrets, le dol éventuel correspondant doit être retenu (ATF 123 IV 197 consid. 2c ; TF 6B_497/2020, déjà cité, consid. 2.1.2 ; cf. TF 6B_158/2018, déjà cité, consid. 2 ; TF 6B_208/2010 du 15 juillet 2010 consid. 3).</w:t>
      </w:r>
    </w:p>
    <w:p>
      <w:r>
        <w:rPr>
          <w:b/>
        </w:rPr>
        <w:t>E. 3.3</w:t>
      </w:r>
    </w:p>
    <w:p>
      <w:r>
        <w:t>En l’espèce, le prévenu ne conteste pas avoir été sur les lieux et s’être trouvé derrière T.________ au moment où le porte-monnaie de celle-ci a été dérobé (cf. jugement, pp. 4-5). Il a été immédiatement identifié par la victime et une somme d’argent équivalant à celle qui se trouvait dans le porte-monnaie a été retrouvée sur l’appelant (cf. P. 5). Ce</w:t>
      </w:r>
    </w:p>
    <w:p>
      <w:r>
        <w:t>- 10 - qui précède suffit à se convaincre que c’est bien l’appelant qui a dérobé le porte-monnaie de la victime. Les dénégations du prévenu sont vaines, ce d’autant qu’il a déjà été condamné à plusieurs reprises pour vol. Pour ce qui est de l’infraction d’importance mineure, conformément à la jurisprudence rappelée ci-avant, lorsque l’auteur s’empare d’un porte-monnaie, un produit de l’infraction de plus de 300 fr. peut entrer en considération. Ainsi, comme retenu à juste titre par le premier juge, on ne peut pas considérer que l’appelant avait d’emblée en vue de s’approprier un élément patrimonial de faible valeur lorsqu’il a dérobé le porte-monnaie de T.________ (cf. jugement, p. 12). Il aurait pris à l’évidence tout son contenu en argent, fut-il supérieur à 300 francs. C’est dès lors l’infraction de vol qui doit être retenue, laquelle ne nécessite pas de dépôt d’une plainte par la victime.</w:t>
      </w:r>
    </w:p>
    <w:p>
      <w:r>
        <w:rPr>
          <w:b/>
        </w:rPr>
        <w:t>E. 4.1</w:t>
      </w:r>
    </w:p>
    <w:p>
      <w:r>
        <w:t>L’appelant a également conclu à sa libération de l’accusation de contravention à la LStup.</w:t>
      </w:r>
    </w:p>
    <w:p>
      <w:r>
        <w:rPr>
          <w:b/>
        </w:rPr>
        <w:t>E. 4.2</w:t>
      </w:r>
    </w:p>
    <w:p>
      <w:r>
        <w:t>L’art. 19a ch. 1 LStup dispose que celui qui, sans droit, aura consommé intentionnellement des stupéfiants – soit notamment du cannabis – est passible de l’amende.</w:t>
      </w:r>
    </w:p>
    <w:p>
      <w:r>
        <w:rPr>
          <w:b/>
        </w:rPr>
        <w:t>E. 4.3</w:t>
      </w:r>
    </w:p>
    <w:p>
      <w:r>
        <w:t>En l’espèce, l’appelant admet lui-même qu’il a consommé du cannabis mais relève qu’il s’agit d’une simple contravention. Le jugement entrepris n’est pas critiquable, puisque la consommation, non remise en cause en appel, a été sanctionnée d’une amende de 100 fr. (cf. jugement, p. 15), ce qui est conforme à l’art. 103 CP et correspond au montant prévu par l’art. 1 let. b OAO (ordonnance sur les amendes d’ordre du 16 janvier 2019 ; RS 314.11). La consommation du 3 juillet au 8 septembre 2017 n’est pas prescrite.</w:t>
      </w:r>
    </w:p>
    <w:p>
      <w:r>
        <w:t>- 11 -</w:t>
      </w:r>
    </w:p>
    <w:p>
      <w:r>
        <w:rPr>
          <w:b/>
        </w:rPr>
        <w:t>E. 5.1</w:t>
      </w:r>
    </w:p>
    <w:p>
      <w:r>
        <w:t>L’appelant reproche à l’autorité de première instance d’avoir révoqué le sursis qui lui avait été accordé le 15 décembre 2015 par le Ministère public/Parquet général – Greffe Neuchâtel.</w:t>
      </w:r>
    </w:p>
    <w:p>
      <w:r>
        <w:rPr>
          <w:b/>
        </w:rPr>
        <w:t>E. 5.2</w:t>
      </w:r>
    </w:p>
    <w:p>
      <w:r>
        <w:t>Aux termes de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TF 6B_1400/2017 du 26 mars 2018 consid. 2.2).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w:t>
      </w:r>
    </w:p>
    <w:p>
      <w:r>
        <w:t>- 12 -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6B_291/2020 du 15 mai 2020 consid. 2.3). La révocation ne peut plus être ordonnée lorsque trois ans se sont écoulés depuis l’expiration du délai d’épreuve (art. 46 al. 5 CP).</w:t>
      </w:r>
    </w:p>
    <w:p>
      <w:r>
        <w:rPr>
          <w:b/>
        </w:rPr>
        <w:t>E. 5.3</w:t>
      </w:r>
    </w:p>
    <w:p>
      <w:r>
        <w:t>En l’espèce, l’appelant a récidivé à de nombreuses reprises durant le délai d’épreuve de deux ans qui lui avait été imparti le 15 décembre 2015. Le sursis octroyé à cette occasion avait déjà été révoqué par l’ordonnance pénale du 24 novembre 2017 du Ministère public de l’arrondissement de l’Est vaudois. Cette ordonnance est devenue caduque ensuite d’une opposition du prévenu le 22 novembre 2019 (cf. P.</w:t>
      </w:r>
    </w:p>
    <w:p>
      <w:r>
        <w:rPr>
          <w:b/>
        </w:rPr>
        <w:t>E. 9</w:t>
      </w:r>
    </w:p>
    <w:p>
      <w:r>
        <w:t>; cf. supra ch. 1.3). Par la suite, le prévenu a persisté à récidiver et à nier avoir commis le vol du 8 juillet 2017, ce qui atteste d’un pronostic clairement défavorable. Il apparaît ainsi nécessaire que le prévenu exécute aussi bien la peine antérieurement prononcée avec sursis que celle faisant l’objet de la présente procédure (cf. infra consid. 6.3.3). Le délai de l’art. 46 al. 5 CP n’étant pas encore échu, c’est à raison que l’autorité de première instance a révoqué le sursis octroyé le 15 décembre 2015. 6. 6.1 L’appelant conteste le bien-fondé de sa condamnation à une peine privative de liberté. Il se réfère à cet égard à l’arrêt du Tribunal fédéral ATF 143 IV 249 pour en déduire qu’il devrait être renoncé au prononcé d’une peine privative de liberté. 6.2 6.2.1 Selon l’art. 47 CP, le juge fixe la peine d'après la culpabilité de l'auteur. Il prend en considération les antécédents et la situation</w:t>
      </w:r>
    </w:p>
    <w:p>
      <w:r>
        <w:t>- 13 -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 6.2.2 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Si l'art. 49 al. 2 CP entre en considération, le juge doit fixer une peine complémentaire (Zusatzstrafe) à la peine de base (Grundstrafe) en tenant compte du principe de l'aggravation découlant de l'art. 49 al. 1 CP (ATF 145 IV 1 consid. 1.3, JdT 2019 IV 267). Lorsque les conditions nécessaires pour prononcer une peine complémentaire sont remplies, le</w:t>
      </w:r>
    </w:p>
    <w:p>
      <w:r>
        <w:t>- 14 -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consid. 2.3.3, JdT 2017 IV 129 ; ATF 138 IV 120 consid. 5.2, JdT 2013 IV 43). La peine complémentaire est constituée de la différence entre cette peine d'ensemble et la peine de base, à savoir celle prononcée précédemment (ATF 141 IV 61 consid. 6.1.2 ; TF 6B_757/2020 du 4 novembre 2020 consid. 3.1.2). 6.2.3 Dans l’ATF 143 IV 249 auquel se réfère l’appelant, le Tribunal fédéral a précisé que, sur le plan de la sanction, une application de l'art. 115 al. 1 let. b LEI imposait qu'il soit renoncé à prononcer et à exécuter une peine privative de liberté – en raison du séjour illégal – lorsque l'intéressé en séjour illégal fait l'objet d'une décision de renvoi et que les mesures nécessaires pour procéder à l'éloignement n'ont pas encore été mises en œuvre (consid. 1.9). 6.3 6.3.1 En l’espèce, l’appelant s’est rendu coupable de vol (art. 139 ch. 1 CP), de séjour illégal (art. 115 al. 1 let. b LEI) et de non-respect d’une interdiction de pénétrer dans une région déterminée (art. 119 al. 1 LEI), infractions toutes trois passibles d’une peine privative de liberté. Il s’est en outre rendu coupable de contravention à la LStup (art. 19a ch. 1 let. a LStup). 6.3.2 6.3.2.1 La culpabilité de l’appelant est moyenne. A sa charge, on retiendra que le prévenu a déjà de nombreux antécédents, principalement pour des faits similaires, sans que cela semble avoir eu un effet sur lui. L’intéressé a notamment commis le vol du 8 juillet 2017 moins de quatre mois après sa condamnation le 23 mars 2017 par le Ministère public/Parquet général – Greffe Neuchâtel pour des faits similaires. L’appelant a persisté à consommer du cannabis et à demeurer en Suisse alors qu’il n’était au bénéfice d’aucune autorisation de séjour et qu’il</w:t>
      </w:r>
    </w:p>
    <w:p>
      <w:r>
        <w:t>- 15 - faisait l’objet d’une interdiction d’entrer sur le territoire. Il a de plus toujours nié avoir commis le vol du 8 juillet 2017, allant jusqu’à dire n’avoir jamais volé quelqu’un à l’audience de débats (cf. jugement, p. 4). On ne voit guère d’élément à retenir à décharge. 6.3.2.2 Au vu des antécédents de l’appelant, qui a été condamné à de multiples reprises pour vol et infractions à la LEI, et pour des motifs de prévention spéciale, une peine privative de liberté s’impose. On relèvera que la référence à l’ATF 143 IV 249 invoquée par l’appelant ne lui est d’aucun secours, dans la mesure où cette jurisprudence n’est pas applicable lorsque d’autres infractions que le séjour illégal justifiant la privation de liberté entrent en ligne de compte. La peine à prononcer est partiellement complémentaire aux condamnations prononcées les 15 et 23 mars et 31 août 2017 par le Ministère public/Parquet régional Neuchâtel et par le Ministère public/Parquet général – Greffe Neuchâtel. L’infraction de base est en l’occurrence celle de vol, qui est l’infraction abstraitement la plus grave d'après le cadre légal. Chacun des deux vols mériterait d’être sanctionné d’une peine privative de liberté de trente jours et chacune des trois infractions à la LEI d’une peine privative de liberté de trente jours, de sorte que l’ensemble des infractions mériterait qu’une peine privative de liberté de cent-cinquante jours soit prononcée. La peine privative de liberté de huitante jours prononcée par le premier juge est dès lors adéquate (30 jours [13.03.2017] + 15 jours [23.03.2017] + 20 jours [31.08.2017] + 80 jours = 145 jours). A cette peine privative de liberté s’ajoute l’amende de 100 fr. pour l’infraction à la LStup. 6.3.3 Compte tenu du pronostic défavorable et pour les raisons exposées ci-avant (cf. supra consid. 5.3 et 6.3.2.1), la peine privative de liberté ne sera assortie d’aucun sursis.</w:t>
      </w:r>
    </w:p>
    <w:p>
      <w:r>
        <w:t>- 16 - 7. 7.1 Au vu de ce qui précède, l’appel doit être rejeté et le jugement entrepris confirmé. Le résultat de l’appel exclut l’octroi d’une indemnité au sens de l’art. 429 CPP telle que requise par l’appelant dans ses conclusions. 7.2 Selon l'art. 135 al. 1 CPP, le défenseur d'office est indemnisé conformément au tarif des avocats de la Confédération ou du canton du for du procès. Dans le Canton de Vaud, le tarif horaire de l’avocat d’office breveté est fixé à 180 fr., respectivement à 110 fr. s’agissant d’un avocat- stagiaire, TVA et débours forfaitaires en sus (art. 2 al. 1 et 3 RAJ [règlement sur l'assistance judiciaire en matière civile du 7 décembre 2010 ; BLV 211.02.3] par renvoi de l'art. 26b TFIP [tarif des frais de procédure et indemnités en matière pénale du 28 septembre 2010 ; BLV 312.03.1]). Il n’y pas a lieu de s’écarter de la liste des opérations du 17 novembre 2020 (P. 45/1). L’indemnité de Me Jean-Daniel Kramer peut ainsi être arrêtée à 1'080 fr. (6 h x 180 fr.), montant auquel s’ajoutent les débours forfaitaires de 21 fr. 60 (1'080 fr. x 2 % [et non 5 %]) et la TVA de 7.7 % sur le tout, par 84 fr. 80, ce qui donne un total de 1'186 fr. 40. Au vu du sort du litige, les frais de la procédure d’appel, par 2'836 fr. 40, constitués de l’émolument de jugement, par 1'650 fr. (art. 21 al. 1 TFIP [tarif des frais de procédure et indemnités en matière pénale du 28 septembre 2010 ; BLV 312.03.1]), ainsi que de l’indemnité allouée au défenseur d’office de l’appelant, par 1'186 fr. 40, seront mis à la charge de l’appelant, qui succombe (art. 428 al. 1 CPP). L’appelant ne sera toutefois tenu de rembourser à l’Etat le montant de l’indemnité en faveur de son défenseur d’office que lorsque sa situation financière le permettra (art. 135 al. 4 let. a CPP).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