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PE17.020183 vom 18. Dezember 2018</w:t>
      </w:r>
    </w:p>
    <w:p>
      <w:r>
        <w:t>VD Tribunal cantonal, 2018-12-18, FR</w:t>
      </w:r>
    </w:p>
    <w:p>
      <w:r>
        <w:rPr>
          <w:b/>
        </w:rPr>
        <w:t xml:space="preserve">Quelle: </w:t>
      </w:r>
      <w:r>
        <w:t>https://mcp.opencaselaw.ch/entscheid/vd_gerichte_PE17.020183</w:t>
      </w:r>
    </w:p>
    <w:p>
      <w:r>
        <w:t>FR: VD_GERICHTE PE17.020183 du 18 décembre 2018</w:t>
      </w:r>
    </w:p>
    <w:p>
      <w:r>
        <w:t>IT: VD_GERICHTE PE17.020183 del 18 dicembre 2018</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 LOJV [Loi vaudoise d’organisation judiciaire du 12 décembre 1979 ; BLV 173.01]). Interjeté en temps utile devant l’autorité compétente, par la partie plaignante qui a qualité pour recourir (art. 382 al. 1 CPP), et satisfaisant aux conditions de forme prescrites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[ci-après :</w:t>
      </w:r>
    </w:p>
    <w:p>
      <w:r>
        <w:t>- 7 - Message FF 2006]).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(TF 6B_511/2018 du 25 juillet 2018 ; ATF 143 IV 241 consid. 2.2.1 ; ATF 138 IV 86 consid. 4.1.1 ; ATF 138 IV 186 consid. 4.1).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3.1.1</w:t>
      </w:r>
    </w:p>
    <w:p>
      <w:r>
        <w:t>Aux termes de l’art. 137 CP (Code pénal suisse du 21 décembre 1937 ; RS 311.0),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w:t>
      </w:r>
    </w:p>
    <w:p>
      <w:r>
        <w:t>- 8 -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ATF 121 IV 25 consid. 1c ; ATF 118 IV 148 consid. 2a). Il n'y a pas d'appropriation si d'emblée l'auteur veut rendre la chose intacte après un acte d'utilisation. Elle intervient cependant sans droit lorsque l'auteur ne peut la justifier par une prétention qui lui soit reconnue par l'ordre juridique (Corboz, Les infractions en droit suisse, vol. I, 3e éd., Berne 2010, n. 11 ad art. 137 CP). La clause de subsidiarité prévue au chiffre 1 restreint sensiblement le champ d’application de l’art. 137 CP, de sorte que cette disposition n’est en pratique applicable que pour des hypothèses particulières, lorsque, par exemple, l’auteur emporte une chose mobilière appartenant à autrui sans s’en rendre compte et décide de la conserver après s’en être aperçu (Dupuis et al. [éd.], Code pénal, Petit commentaire, 2e éd., Bâle 2017, n. 9 ad art. 137 CP et les références citées). Sur le plan subjectif, l'auteur doit avoir agi intentionnellement et dans un dessein d’enrichissement illégitime (TF 6B_395/2015 du 25 novembre 2015 consid. 2.2) : il sait ou accepte que la chose appartient à autrui et a la volonté, au moins à titre éventuel, de l’incorporer à son patrimoine (Corboz, op. cit., n. 14 ad art. 137 CP et les références citées).</w:t>
      </w:r>
    </w:p>
    <w:p>
      <w:r>
        <w:rPr>
          <w:b/>
        </w:rPr>
        <w:t>E. 3.1.2</w:t>
      </w:r>
    </w:p>
    <w:p>
      <w:r>
        <w:t>Aux termes de l'art. 139 ch. 1 CP, se rend coupable de vol celui qui, pour se procurer ou procurer à un tiers un enrichissement illégitime, aura soustrait une chose mobilière appartenant à autrui dans le but de se l’approprier.</w:t>
      </w:r>
    </w:p>
    <w:p>
      <w:r>
        <w:t>- 9 - Le vol représente une forme qualifiée de délit d’appropriation à raison du comportement incriminé, soit la soustraction de la chose mobilière d’autrui, que l’auteur commet dans un dessein d’appropriation et d’enrichissement illégitime (ATF 132 IV 108 consid. 2.1, SJ 2006 I 277). Cette disposition protège de façon générale le patrimoine, et plus spécifiquement le pouvoir de disposition du propriétaire de la chose mobilière visée (ATF 118 IV 209 consid. 3b, JdT 1994 IV 162). Cette infraction suppose ainsi la réunion de cinq éléments constitutifs, soit une chose mobilière appartenant à autrui, un acte de soustraction, l'intention, un dessein d'appropriation et un dessein d'enrichissement illégitime (Dupuis et al., op. cit., nn. 5-6 ad art. 139 CP). La soustraction se définit comme la rupture de la possession d’autrui, contraire à la volonté de l’ayant droit, aboutissant à la création d’une nouvelle possession, en général en faveur de l’auteur lui-même (ATF 132 IV 108 précité ; ATF 115 IV 104 consid. 1c/aa, JdT 1990 IV 139 ; ATF 112 IV 9 consid. 2a, JdT 1987 IV 5). Il faut, premièrement, qu’un tiers soit en possession de l’objet de l’infraction, ce qui suppose que celui-ci exerce une maîtrise effective sur la chose et ait la volonté de l’exercer. La soustraction implique, deuxièmement, la rupture de la possession. Celle-ci suppose un acte contraire à la volonté du lésé, faute de quoi il ne saurait être question de vol (Dupuis et al., op. cit., nn. 9-10 ad art. 139 CP). La rupture de la possession est réalisée avec la mise à néant de la maîtrise qu’exerce l’ayant droit sur la chose mobilière concernée, qui implique en règle générale que l’auteur s’empare de la chose et la déplace hors de la sphère d’influence de l’ayant droit (Hurtado Pozo, Droit pénal, partie spéciale, Genève/Zurich/Bâle 2009, n. 901 ad art. 139 CP). Les moyens par lesquels l’auteur parvient à ses fins pour provoquer la rupture de la possession importent peu. La jurisprudence précise à cet égard qu’ils peuvent être fondés sur la force, la ruse, l’adresse, voire la simple exploitation d’une occasion favorable (ATF 110 IV 80 consid. 2b ; Hurtado Pozo, op. cit., n. 903 ad art. 139 CP). Le troisième et dernier élément de la soustraction se rapporte à la création d’une nouvelle possession. En principe, la rupture de la possession et la création d’une nouvelle possession interviennent par l’accomplissement d’un seul et unique acte</w:t>
      </w:r>
    </w:p>
    <w:p>
      <w:r>
        <w:t>- 10 - par l’auteur (Dupuis et al., op. cit., n. 11 ad art. 139 CP et les références citées). Le vol est une infraction de nature intentionnelle. L’élément subjectif doit englober l’appartenance à autrui de la chose mobilière et l’auteur doit s’accaparer celle-ci avec conscience et volonté. Un simple dessein d’appropriation et d’enrichissement illégitime suffit.</w:t>
      </w:r>
    </w:p>
    <w:p>
      <w:r>
        <w:rPr>
          <w:b/>
        </w:rPr>
        <w:t>E. 3.1.3</w:t>
      </w:r>
    </w:p>
    <w:p>
      <w:r>
        <w:t>Au sens de l’art. 78 al. 1 OAC (Ordonnance réglant l’admission des personnes et des véhicules à la circulation routière du 27 octobre 1976 ; RS 741.51), la qualité de détenteur d’un véhicule se détermine selon les circonstances de fait. Est notamment considéré comme détenteur celui qui possède effectivement et durablement le pouvoir de disposer du véhicule et qui l’utilise ou le fait utiliser à ses frais ou dans son propre intérêt. Ainsi, le détenteur est celui qui dispose réellement et directement du véhicule (Bussy et al., Code suisse de la circulation routière commenté, 4e éd. Bâle 2015, n. 2.2 ad art. 11 LCR), car c’est à lui qu’appartient le pouvoir de décider si, dans quelles conditions et notamment sous la conduite de quelle personne le véhicule pourra circuler. Le détenteur doit aussi être la personne qui tire profit d’un véhicule et y a un intérêt permanent et prépondérant (Jeanneret, Les dispositions pénales de la Loi sur la circulation routière (LCR), Berne 2007, n. 4 ad Définitions).</w:t>
      </w:r>
    </w:p>
    <w:p>
      <w:r>
        <w:rPr>
          <w:b/>
        </w:rPr>
        <w:t>E. 3.2</w:t>
      </w:r>
    </w:p>
    <w:p>
      <w:r>
        <w:t>En l’espèce, il est indéniable qu’en faisant annuler le permis de circulation, en rendant les plaques vaudoises dont le défunt était titulaire, en faisant immatriculer le véhicule dans le canton du Valais à son nom et en l’emmenant à son domicile valaisan, le prévenu a démontré sa volonté de s’approprier un bien qu’il savait ne pas lui appartenir. Ce faisant, il a non seulement dépossédé l’ayant droit, héritier du défunt, dudit véhicule, mais s’est arrogé les attributs de sa propriété par des actes concrets. Il y a donc indéniablement appropriation au sens de l’art. 137 al. 1 CP. Toutefois, la Procureure n’a pas examiné si l’infraction de vol était réalisée, quand bien même l’appropriation illégitime lui est</w:t>
      </w:r>
    </w:p>
    <w:p>
      <w:r>
        <w:t>- 11 - subsidiaire. Comme mentionné au considérant 3.1.2 supra, le caractère aggravé du vol réside dans le fait que le voleur soustrait la chose du domaine du propriétaire ; l’illicéité du comportement, plus intense qu’en cas d’appropriation illégitime, est donc déterminée par la rupture de la possession de l’ayant droit par le voleur, et la création d’une nouvelle possession en faveur de celui-ci, supprimant par la même le pouvoir de disposition de l’ayant droit. Or, en l’occurrence, ce n’est que parce que le plaignant s’est rendu compte de l’existence d’un véhicule parmi les biens du défunt, parce qu’aucun véhicule ne se trouvait à proximité de l’immeuble de celui-ci, parce qu’il a fait des recherches et parce qu’il a réclamé au prévenu de lui restituer la voiture que celui-ci s’est exécuté, non sans avoir demandé à pouvoir la conserver. Les éléments constitutifs objectifs du vol, ou à tout le moins de l’appropriation illégitime, semblent ainsi réalisés. Quant à l’élément subjectif, il ne peut être nié, comme l’a fait la Procureure. En effet, la volonté de soustraction et/ou d’appropriation ressort manifestement des actes décrits ci-dessus. Elle ressort également des aveux de l’intéressé qui, entendu par la Procureure le 22 novembre 2017, a déclaré ce qui suit : « Au vu de la relation de longue durée entre ma maman et le défunt, on espérait que le véhicule nous reviendrait. Cela explique aussi pourquoi je ne l’ai pas spontanément rendu. Honnêtement je pensais que vu la situation, A.K.________ ne nous aurait pas demandé ce véhicule (…). On espérait secrètement que le véhicule serait non- réclamé. » (PV aud. n° 1, l. 55-63). Dans ces conditions, on ne saurait considérer que le prévenu était de bonne foi. S’il l’avait été, il n’aurait pas fait annuler le permis de circulation et immatriculé le véhicule à son nom dans un autre canton à l’insu de l’héritier du défunt, ni n’aurait, toujours à l’insu de celui-ci, transféré le véhicule hors du domicile du défunt, et ce – de son propre aveu – dans le secret espoir que cet objet ne lui serait pas réclamé par la suite. En conclusion, c’est à tort que le Ministère public a ordonné le classement de la procédure ouverte contre T.________, les éléments</w:t>
      </w:r>
    </w:p>
    <w:p>
      <w:r>
        <w:t>- 12 - constitutifs de l’infraction de vol, subsidiairement d’appropriation illégitime, paraissant indéniablement réunis. Il incombera donc à la Procureure d’ouvrir une enquête contre le prévenu également pour vol. Le fait que le prévenu n’aurait que peu circulé avec ledit véhicule n’est pas déterminant à cet égard. En effet, en matière de vol, il n’est pas exigé que le voleur use de l’objet volé pour être punissable ; et en matière d’appropriation illégitime, seul un dessein d’enrichissement illégitime est exigé, celui-ci étant réalisé également en cas d’avantage patrimonial indirect résultant, par exemple, de l’usage de la chose (Hurtado Pozo, op. cit., nn. 807 s. ad § 28, pp. 244 s. et les références citées). Sur ce point, les quatre courses effectuées avec le véhicule litigieux et admises par le prévenu, constituent déjà un avantage patrimonial. Au demeurant, il est très douteux que le prévenu ait immatriculé le véhicule à son nom, l’ait assuré et lui ait fait passer un service au mois d’avril 2017, qui sont des actes coûteux, sans user du véhicule en cause. A cet égard, et pour quantifier la culpabilité de l’intéressé, et donc la peine à lui infliger, deux mesures d’instruction peuvent encore être menées. Dans la mesure où, lorsqu’il a fait immatriculer le véhicule à son nom en Valais, le prévenu a dû contracter une assurance responsabilité civile, et indiquer à son assureur le kilométrage de la voiture à la date de la conclusion du contrat, d’une part, et le nombre de kilomètres qu’il envisageait de faire par année avec celui-ci, d’autre part, il incombera au Ministère public, pour être pleinement renseigné sur ce point, de requérir la production du contrat d’assurance conclu par le prévenu, étant précisé que cette réquisition devra être faite en mains du prévenu et de la [...] Assurances, T.________ ayant été agent général à [...] de cette compagnie jusqu’au mois de mars 2017. Il lui incombera également de requérir la production du livret des services effectués sur le véhicule en cause durant la période considérée, qui mentionnera également le kilométrage parcouru.</w:t>
      </w:r>
    </w:p>
    <w:p>
      <w:r>
        <w:rPr>
          <w:b/>
        </w:rPr>
        <w:t>E. 4</w:t>
      </w:r>
    </w:p>
    <w:p>
      <w:r>
        <w:t>En définitive, le recours formé par A.K.________ doit être admis et l’ordonnance entreprise annulée. Le dossier de la cause sera renvoyé au Ministère public de l’arrondissement de Lausanne pour qu’il procède au complément d’instruction susmentionné et rende une nouvelle décision.</w:t>
      </w:r>
    </w:p>
    <w:p>
      <w:r>
        <w:t>- 13 - Les frais de la procédure de recours, constitués en l'espèce du seul émolument d'arrêt, par 1’320 fr. (art. 20 al. 1 TFIP [Tarif des frais de procédure et indemnités en matière pénale du 28 septembre 2010 ; BLV 312.03.1]), seront laissés à la charge de l’Etat (art. 428 al. 4 CPP). L’avance de frais de 550 fr. versée par le recourant à titre de sûretés lui sera en outre restituée. Par ces motifs, la Chambre des recours pénale prononce : I. Le recours est admis. II. L’ordonnance du 11 octobre 2018 est annulée. III. Le dossier de la cause est renvoyé au Ministère public de l’arrondissement de Lausanne pour qu’il procède dans le sens des considérants. IV. Les frais d’arrêt, par 1’320 fr. (mille trois cent vingt francs), sont laissés à la charge de l’Etat. V. L’avance de frais de 550 fr. (cinq cent cinquante francs) versée par A.K.________ à titre de sûretés lui est restituée. VI. L’arrêt est exécutoire. Le président : La greffière :</w:t>
      </w:r>
    </w:p>
    <w:p>
      <w:r>
        <w:t>- 14 - Du Le présent arrêt, dont la rédaction a été approuvée à huis clos, est notifié, par l'envoi d'une copie complète, à : - M. A.K.________, - M. T.________,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