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PE17.020081 vom 2. Februar 2018</w:t>
      </w:r>
    </w:p>
    <w:p>
      <w:r>
        <w:t>VD Tribunal cantonal, 2018-02-02, FR</w:t>
      </w:r>
    </w:p>
    <w:p>
      <w:r>
        <w:rPr>
          <w:b/>
        </w:rPr>
        <w:t xml:space="preserve">Quelle: </w:t>
      </w:r>
      <w:r>
        <w:t>https://mcp.opencaselaw.ch/entscheid/vd_gerichte_PE17.020081</w:t>
      </w:r>
    </w:p>
    <w:p>
      <w:r>
        <w:t>FR: VD_GERICHTE PE17.020081 du 2 février 2018</w:t>
      </w:r>
    </w:p>
    <w:p>
      <w:r>
        <w:t>IT: VD_GERICHTE PE17.020081 del 2 febbraio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En l’espèce, le recourant ne conteste pas, à juste titre, l’existence de soupçons suffisants. Au vu des éléments figurant au dossier, il y a en effet des présomptions de culpabilité suffisantes quant à l’activité délictueuse qui lui est reprochée (cf. let. A.a supra). En particulier, ses explications quant aux actes qu’il est soupçonné d’avoir commis postérieurement à la mise en garde du Ministère public du 20 avril 2016 ne sont pas convaincantes. Au surplus, ses déclarations selon lesquelles il n’aurait jamais eu d’employés étrangers sont contredites par les dépositions de plusieurs d’entre eux. On relève également que l’intéressé fait l’objet de plaintes et dénonciations émanant de diverses organismes et autorités, à savoir l’Office des poursuites du district de la Broye-Vully, la Caisse [...], l’Office des faillites de l’arrondissement de la Broye et du Nord vaudois, le Service de l’emploi du canton de Vaud, la Fédération [...], la Commission</w:t>
      </w:r>
    </w:p>
    <w:p>
      <w:r>
        <w:t>- 5 - cantonale de l’emploi et du marché du travail du canton de Fribourg, la [...], et [...].</w:t>
      </w:r>
    </w:p>
    <w:p>
      <w:r>
        <w:rPr>
          <w:b/>
        </w:rPr>
        <w:t>E. 3.1</w:t>
      </w:r>
    </w:p>
    <w:p>
      <w:r>
        <w:t>Le recourant conteste le risque de collusion retenu par le Tribunal des mesures de contrainte.</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t>- 6 -</w:t>
      </w:r>
    </w:p>
    <w:p>
      <w:r>
        <w:rPr>
          <w:b/>
        </w:rPr>
        <w:t>E. 3.3</w:t>
      </w:r>
    </w:p>
    <w:p>
      <w:r>
        <w:t>En l’espèce, le recourant affirme qu’il n’était pas conscient des conséquences juridiques liées à l’acquisition de diverses sociétés et que depuis qu’il les aurait comprises, il se sentirait trahi, notamment par K.________. Il assure qu’il n’aurait plus aucune relation avec le prénommé et n’aurait aucun moyen ni envie de le contacter. Il ne s’agit là toutefois que d’affirmations du recourant. Celui-ci a déclaré, tant lors de son audition d’arrestation (PV aud. 6, p. 5, lignes 160-161) que devant le Tribunal des mesures de contrainte, que K.________ gérait ses entreprises et « [s]a vie indirectement » K.________ apparaît comme un protagoniste important de cette affaire (cf. PV aud. 6, pp. 3-5, et p. 9), il importe que le prévenu ne puisse pas prendre contact avec lui avant qu’il ait été entendu. Il existe donc en l’état un risque concret de collusion, contrairement à ce que soutient le recourant. Ses déclarations selon lesquelles il n’aurait ni les moyens ni l’envie de contracter K.________ sont sujettes à caution, dans la mesure où il n’est pas crédible sur d’autres points. En effet, malgré la mise en garde du Ministère public lors de l’audition du 20 avril 2016 quant à ses faillites répétées, le recourant est soupçonné d’avoir repris deux sociétés dans les jours suivant cet interrogatoire, et quatre autres ultérieurement. Enfin, plusieurs employés étrangers ont affirmé avoir travaillé pour des sociétés du recourant, contrairement à ce que celui-ci a déclaré devant le Tribunal des mesures de contrainte. Enfin, le recourant pourrait chercher à prendre contact avec d’autres personnes susceptibles de le mettre en cause et qui, compte tenu de l’ampleur de l’activité délictueuse qui lui est imputée, devront être entendues, mais dont l’identité n’est pas encore connue de l’autorité de poursuite pénale. Au vu de ce qui précède, c’est à bon droit que le Tribunal des mesures de contrainte a ordonné la détention provisoire en raison du risque de collusion.</w:t>
      </w:r>
    </w:p>
    <w:p>
      <w:r>
        <w:rPr>
          <w:b/>
        </w:rPr>
        <w:t>E. 4.1</w:t>
      </w:r>
    </w:p>
    <w:p>
      <w:r>
        <w:t>Par surabondance, le recourant est soupçonné d’avoir commis de nouveaux actes délictueux, en reprenant la gestion de plusieurs entreprises, postérieurement à la mise en garde du Ministère public du 20 avril 2016 (cf. cas 14 à 20 de la demande de détention provisoire). Dans</w:t>
      </w:r>
    </w:p>
    <w:p>
      <w:r>
        <w:t>- 7 - ces conditions, la détention provisoire est également justifiée par le risque de réitération dans la mesure où l’art. 221 al. 1 let. c CPP a également pour but d’éviter que la procédure soit compliquée et prolongée par la commission de nouveaux délits (TF 1B_344/2012 du 19 juin 2012 consid. 3 et les références citées).</w:t>
      </w:r>
    </w:p>
    <w:p>
      <w:r>
        <w:rPr>
          <w:b/>
        </w:rPr>
        <w:t>E. 4.2</w:t>
      </w:r>
    </w:p>
    <w:p>
      <w:r>
        <w:t>Les motifs fondant la détention provisoire étant alternatifs (TF 1B_249/2011 du 7 juin 2011 consid. 2.4), l’existence des risques de collusion et de réitération dispense d’examiner si la détention provisoire s’impose également en raison du risque de fuite, comme l’a retenu le Tribunal des mesures de contrainte (CREP 6 novembre 2017/746 consid.</w:t>
      </w:r>
    </w:p>
    <w:p>
      <w:r>
        <w:rPr>
          <w:b/>
        </w:rPr>
        <w:t>E. 4.3</w:t>
      </w:r>
    </w:p>
    <w:p>
      <w:r>
        <w:t>; CREP 27 octobre 2017/733 consid. 4.3).</w:t>
      </w:r>
    </w:p>
    <w:p>
      <w:r>
        <w:rPr>
          <w:b/>
        </w:rPr>
        <w:t>E. 5</w:t>
      </w:r>
    </w:p>
    <w:p>
      <w:r>
        <w:t>Le recourant ne soutient pas – avec raison – que la durée de la détention provisoire violerait le principe de la proportionnalité (art. 212 al. 3 CPP), mais demande qu’en lieu et place de la détention provisoire soient ordonnées plusieurs mesures de substitution (art. 237 al. 2 CPP). Il propose ainsi une assignation à résidence sous surveillance électronique, l’obligation de se présenter régulièrement à un service administratif, la saisie de documents d’identité ou autres documents officiels ou encore l’interdiction d’entretenir des relations avec certaines personnes. Toutes ces mesures, à l’exception de celle citée en dernier lieu, se rapportent au risque de fuite, dont l’existence a été laissée indécise dans le cas présent, et n’apparaissent ainsi pas aptes à prévenir efficacement les risques de collusion et de réitération retenus. En particulier, l’interdiction qui serait faite au recourant d’entrer en contact avec certaines personnes ne suffit pas à parer au risque de collusion. Le succès d’une telle mesure dépend exclusivement du bon vouloir du recourant, auquel on ne saurait se fier entièrement dans la mesure où, comme on l’a vu (cf. consid. 3.3 supra), la crédibilité de certaines de ses déclarations apparaît sujette à caution. Enfin, le fait que la détention provisoire du recourant expose sa famille au risque de se retrouver sans ressources n’est pas un critère pertinent pour apprécier le bien-fondé de</w:t>
      </w:r>
    </w:p>
    <w:p>
      <w:r>
        <w:t>- 8 - cette mesure de contrainte. L’épouse du recourant pourra le cas échéant solliciter l’aide sociale pour elle-même et pour sa fille.</w:t>
      </w:r>
    </w:p>
    <w:p>
      <w:r>
        <w:rPr>
          <w:b/>
        </w:rPr>
        <w:t>E. 6</w:t>
      </w:r>
    </w:p>
    <w:p>
      <w:r>
        <w:t>En définitive, le recours, manifestement mal fondé, doit être rejeté, sans échange d’écritures (art. 390 al. 2 CPP), et l’ordonnance du 20 janvier 2018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20 janvier 2018 est confirmée. III. L’indemnité allouée au défenseur d’office de L.________ est fixée à 581 fr. 60 (cinq cent huitante et un francs et soixante centimes). IV. Les frais d’arrêt, par 880 fr. (huit cent huitante francs), ainsi que l’indemnité due au défenseur d’office de L.________, par 581 fr. 60 (cinq cent huitante et un francs et soixante centimes), sont mis à la charge de ce dernier.</w:t>
      </w:r>
    </w:p>
    <w:p>
      <w:r>
        <w:t>- 9 - V. Le remboursement à l’Etat de l’indemnité allouée au chiffre III ci-dessus ne sera exigible que pour autant que la situation économique de L.________ le permette. VI. L’arrêt est exécutoire. Le président : Le greffier : Du Le présent arrêt, dont la rédaction a été approuvée à huis clos, est notifié, par l'envoi d'une copie complète, à : - Me Antoine Campiche, avocat (pour L.________), - Ministère public central, et communiqué à : - Mme la Présidente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- 10 -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