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PE17.019686 vom 19. Oktober 2017</w:t>
      </w:r>
    </w:p>
    <w:p>
      <w:r>
        <w:t>VD Tribunal cantonal, 2017-10-19, FR</w:t>
      </w:r>
    </w:p>
    <w:p>
      <w:r>
        <w:rPr>
          <w:b/>
        </w:rPr>
        <w:t xml:space="preserve">Quelle: </w:t>
      </w:r>
      <w:r>
        <w:t>https://mcp.opencaselaw.ch/entscheid/vd_gerichte_PE17.019686</w:t>
      </w:r>
    </w:p>
    <w:p>
      <w:r>
        <w:t>FR: VD_GERICHTE PE17.019686 du 19 octobre 2017</w:t>
      </w:r>
    </w:p>
    <w:p>
      <w:r>
        <w:t>IT: VD_GERICHTE PE17.019686 del 19 ottobre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H.________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3.2</w:t>
      </w:r>
    </w:p>
    <w:p>
      <w:r>
        <w:t>En l’espèce, le recourant ne conteste pas, à juste titre, l’existence d'indices de culpabilité suffisants, étant précisé qu’il a été arrêté en flagrant délit de cambriolage et qu’il reconnait les faits qui lui sont reprochés.</w:t>
      </w:r>
    </w:p>
    <w:p>
      <w:r>
        <w:t>- 4 -</w:t>
      </w:r>
    </w:p>
    <w:p>
      <w:r>
        <w:rPr>
          <w:b/>
        </w:rPr>
        <w:t>E. 4</w:t>
      </w:r>
    </w:p>
    <w:p>
      <w:r>
        <w:t>Le recourant conteste l’existence d’un risque de fuite (art. 221 al. 1 let. a CPP).</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w:t>
      </w:r>
    </w:p>
    <w:p>
      <w:r>
        <w:rPr>
          <w:b/>
        </w:rPr>
        <w:t>E. 4.2</w:t>
      </w:r>
    </w:p>
    <w:p>
      <w:r>
        <w:t>En l’occurrence, le Tribunal des mesures de contrainte a retenu le risque de fuite en raison du fait que le recourant était originaire du Kosovo, que son permis de séjour était échu depuis le mois de février 2017, que le renouvellement de son permis n’était actuellement pas possible puisqu’il n’avait pas d’emploi fixe et qu’au vu de ses antécédents judiciaires, la probabilité que son permis soit prochainement renouvelé n’apparaissait pas très élevée. Si le recourant ne conteste pas les éléments qui précèdent, il met cependant en avant le fait qu’il est âgé de 28 ans, qu’il est arrivé en Suisse à l’âge de deux ans et qu’il y demeure depuis lors, qu’il habite avec sa mère à Lausanne et qu’il a effectué toute sa scolarité en Suisse. Il précise encore qu’il n’ a aucune attache avec le Kosovo, qu’il est parfaitement intégré en Suisse et que sa langue maternelle est le français. H.________ précise qu’il bénéficie de l’assurance-chômage, qu’il est en recherche active d’emploi et qu’il attend des réponses d’une agence de placement.</w:t>
      </w:r>
    </w:p>
    <w:p>
      <w:r>
        <w:t>- 5 - Partant, force est de constater, avec le recourant, que le risque de fuite est faible, voire inexistant. Une détention ne saurait donc être ordonnée pour ce motif.</w:t>
      </w:r>
    </w:p>
    <w:p>
      <w:r>
        <w:rPr>
          <w:b/>
        </w:rPr>
        <w:t>E. 5</w:t>
      </w:r>
    </w:p>
    <w:p>
      <w:r>
        <w:t>Le recourant conteste l’existence d’un risque de récidive, invoqué par le Ministère public, mais que le Tribunal des mesures de contrainte s'est dispensé d'examiner.</w:t>
      </w:r>
    </w:p>
    <w:p>
      <w:r>
        <w:rPr>
          <w:b/>
        </w:rPr>
        <w:t>E. 5.1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de son potentiel de violence et des circonstances de la commission de l’acte.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TF 1B_6/2017 et TF 1B_26/2017 du 8 février 2017 consid. 3.1.1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w:t>
      </w:r>
    </w:p>
    <w:p>
      <w:r>
        <w:t>- 6 - agissements. Les caractéristiques personnelles du prévenu doivent en outre être évaluées. Lorsqu'on dispose d'une expertise psychiatrique ou d'un pré-rapport, il y a lieu d'en tenir compte (ATF 143 IV 9 consid. 2.8).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w:t>
      </w:r>
    </w:p>
    <w:p>
      <w:r>
        <w:rPr>
          <w:b/>
        </w:rPr>
        <w:t>E. 5.2</w:t>
      </w:r>
    </w:p>
    <w:p>
      <w:r>
        <w:t>En l’occurrence, il ressort du casier judiciaire de l’intéressé que celui-ci a été condamné à six reprises pour des faits similaires, dont une fois à treize mois de peine privative de liberté, ce qui ne l’a manifestement pas empêché de recommencer à enfreindre la loi. Il faut également relever que les dernières condamnations de H.________ remontent à 2014 et 2016 ; elles sont par conséquent récentes. Enfin, le prévenu est</w:t>
      </w:r>
    </w:p>
    <w:p>
      <w:r>
        <w:t>- 7 - consommateur de stupéfiants. Vu ce qui précède, le risque de réitération est concret. 6. Le recourant conteste enfin l’existence d’un risque de collusion, invoqué par le Ministère public, mais que le Tribunal des mesures de contrainte s'est également dispensé d'examiner. 6.1 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t>- 8 - 6.2 En l’espèce, H.________ a agi avec [...]. L’instruction a débuté il y a moins de deux semaines et divers contrôles ont été mis en œuvre afin d’établir l’étendue de l’activité délictueuse du recourant et de son comparse (comparaison ADN et/ou empreinte, téléphonie). Tant que ces opérations sont en cours, le risque de collusion subsiste de manière concrète et justifie également le maintien du recourant en détention provisoire. 7. Aucune mesure de substitution ne paraît à même de pallier les risques retenus, et le prévenu n’en propose du reste aucune (cf. art. 237 CPP). 8. Le recourant est détenu depuis le 10 octobre 2017, soit moins de deux semaines. Compte tenu des faits qui lui sont reprochés, la détention provisoire demeure proportionnée au regard de la peine qui est susceptible d’être prononcée à son encontre en cas de condamnation (art. 212 al. 3 CPP).</w:t>
      </w:r>
    </w:p>
    <w:p>
      <w:r>
        <w:rPr>
          <w:b/>
        </w:rPr>
        <w:t>E. 9</w:t>
      </w:r>
    </w:p>
    <w:p>
      <w:r>
        <w:t>Il résulte de ce qui précède que le recours, manifestement mal fondé, doit être rejeté sans autres échanges d’écritures (art. 390 al. 2 CPP). Les frais de la procédure de recours, par 880 fr. (art. 20 al. 1 TFIP [tarif des frais de procédure et indemnités en matière pénale du 28 septembre 2010 ; RSV 312.03.1]), ainsi que les frais imputables à la défense d’office (art. 422 al. 1 et 2 let. a CPP), fixés à 583 fr. 20 (soit 540 fr., plus la TVA par 43 fr. 20), seront mis à la charge de H.________, qui succombe (art. 428 al. 1 CPP). Le remboursement à l’Etat de l’indemnité allouée au défenseur d’office ne sera exigible que pour autant que la situation financière du recourant le permette (art. 135 al. 4 CPP).</w:t>
      </w:r>
    </w:p>
    <w:p>
      <w:r>
        <w:t>- 9 - Par ces motifs, la Chambre des recours pénale prononce : I. Le recours est rejeté. II. L’ordonnance du 12 octobre 2017 est confirmée. III. L’indemnité allouée au défenseur d’office de H.________ est fixée 583 fr. 20 (cinq cent huitante-trois francs et vingt centimes). IV. Les frais d’arrêt, par 880 fr. (huit cent huitante francs), ainsi que l'indemnité due au défenseur d'office de H.________, par 583 fr. 20 (cinq cent huitante-trois francs et vingt centimes) sont mis à la charge de H.________. V. Le remboursement à l'Etat de l'indemnité allouée au chiffre III ci-dessus ne sera exigible que pour autant que la situation économique de H.________ le permette. VI. L’arrêt est exécutoire. Le président : La greffière : Du Le présent arrêt, dont la rédaction a été approuvée à huis clos, est notifié, par l'envoi d'une copie complète, à : - Me Christian Giauque (avocat), pour H.________, - Ministère public central, et communiqué à : - M. le Procureur du Ministère public cantonal Strada, - Mme la Présidente du Tribunal des mesures de contrainte,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