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PE17.019343 vom 22. März 2018</w:t>
      </w:r>
    </w:p>
    <w:p>
      <w:r>
        <w:t>VD Tribunal cantonal, 2018-03-22, FR</w:t>
      </w:r>
    </w:p>
    <w:p>
      <w:r>
        <w:rPr>
          <w:b/>
        </w:rPr>
        <w:t xml:space="preserve">Quelle: </w:t>
      </w:r>
      <w:r>
        <w:t>https://mcp.opencaselaw.ch/entscheid/vd_gerichte_PE17.019343</w:t>
      </w:r>
    </w:p>
    <w:p>
      <w:r>
        <w:t>FR: VD_GERICHTE PE17.019343 du 22 mars 2018</w:t>
      </w:r>
    </w:p>
    <w:p>
      <w:r>
        <w:t>IT: VD_GERICHTE PE17.019343 del 22 marzo 2018</w:t>
      </w:r>
    </w:p>
    <w:p>
      <w:pPr>
        <w:pStyle w:val="Heading2"/>
      </w:pPr>
      <w:r>
        <w:t>Erwägungen</w:t>
      </w:r>
    </w:p>
    <w:p>
      <w:r>
        <w:rPr>
          <w:b/>
        </w:rPr>
        <w:t>E. 5</w:t>
      </w:r>
    </w:p>
    <w:p>
      <w:r>
        <w:t>L'appelant conteste enfin son expulsion, plaidant que toute sa famille vivrait en Suisse.</w:t>
      </w:r>
    </w:p>
    <w:p>
      <w:r>
        <w:rPr>
          <w:b/>
        </w:rPr>
        <w:t>E. 5.1</w:t>
      </w:r>
    </w:p>
    <w:p>
      <w:r>
        <w:t>Aux termes de l'art. 66a al. 1 let. b CP, le juge expulse de Suisse l'étranger qui est condamné notamment pour lésions corporelles graves,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L'expulsion est en principe indépendante de la gravité des faits retenus (cf. Bonard, Expulsion pénale : la mise en œuvre de l'initiative sur le renvoi, questions choisies et premières jurisprudences, in : Forumpoenale 5/2017 p. 315 ; Fiolka/Vetterli, Die Landesverweisung in Art. 66a ff StGB als strafrechtliche Sanktion, in : Plädoyer 5/2016 p. 84). L'art. 66a al. 2 CP définit une « Kannvorschrift »,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 Berger, Umsetzungsgesetzgebung zur Ausschaffungs-initiative, in : Jusletter 7 août 2017 no 6.1 p. 20). Afin de pouvoir renoncer à une expulsion prévue par l'art. 66a al. 1 CP, il faut donc, d'une part, que cette mesure mette l'étranger dans une situation personnelle grave et, d'autre</w:t>
      </w:r>
    </w:p>
    <w:p>
      <w:r>
        <w:t>- 19 - part, que les intérêts publics à l'expulsion ne l'emportent pas sur l'intérêt privé de l'étranger à demeurer en Suisse. La loi ne définit pas ce qu'il faut entendre par une « situation personnelle grave » (TF 6B_506/2017 du 14 février 2018 consid. 1.1). Cette notion doit être appréhendée, notamment, à la lumière du droit international de rang constitutionnel. L'art. 8 par. 1 CEDH (Convention de sauvegarde des droits de l'homme et des libertés fondamentales du 4 novembre 1950 ; RS 0.101)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TF 6B_506/2017 du 14 février 2018 consid. 2.1). Selon la Cour européenne des droits de l'Homme,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 Ukaj c. Suisse du 24 juin 2014 [requête no 32493/08] § 27 ; Hasanbasic c. Suisse du 11 juin 2013 [requête no 52166/09] § 46). Tous les immigrés établis, indépendamment de la durée de leur résidence dans le pays dont ils sont censés être expulsés, n'ont pas nécessairement une « vie familiale » au</w:t>
      </w:r>
    </w:p>
    <w:p>
      <w:r>
        <w:t>- 20 -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 K.M. § 46 ; Ukaj § 29 ; Hasanbasic § 48 ; TF 6B_506/2017 du 14 février 2018 consid. 2.2). Par référence à la jurisprudence de la Cour européenne des droits de l'Homme ci-dessus, le critère de la « situation personnelle grave » a été défini à l'appui des éléments suivants : la nature et la gravité de l'infraction commise par l'étranger ; la durée de son séjour dans le pays dont il doit être expulsé ; le laps de temps écoulé entre la perpétration de l'infraction et la mesure litigieuse, ainsi que la conduite de l'intéressé durant cette période ; la solidité des liens sociaux, culturels et familiaux avec le pays hôte et avec le pays de destination (TF 6B_506/2017 du 14 février 2018 consid. 2.2).</w:t>
      </w:r>
    </w:p>
    <w:p>
      <w:r>
        <w:rPr>
          <w:b/>
        </w:rPr>
        <w:t>E. 5.2</w:t>
      </w:r>
    </w:p>
    <w:p>
      <w:r>
        <w:t>En l’espèce, dans la pesée des intérêts, il faut d'abord prendre en considération le parcours durable du prévenu dans la délinquance, qui s'est traduit par de nombreuses condamnations au casier judiciaire, l'absence d'activité professionnelle et l'alcoolisme contre lequel l’intéressé n'a rien entrepris. Les biens juridiques protégés auxquels il a porté atteinte sont multiples et dénotent un réel mépris de l’ordre juridique suisse. C'est dire que son insertion est un échec total. En outre, comme le relève le premier juge, l'appelant ne bénéficie d'aucun statut légal en Suisse, de sorte qu'on ne peut pas imaginer un séjour licite durable. L'intérêt public à l'expulsion est donc élevé. L'intérêt privé de l'appelant à rester en Suisse existe en raison de la présence de ses enfants et de sa mère. Il n’aurait plus de parent au Cameroun et il ne comprendrait pas « le camerounais », par quoi il faut</w:t>
      </w:r>
    </w:p>
    <w:p>
      <w:r>
        <w:t>- 21 - entendre les dialectes de ce pays dont les langues officielles sont le français et l’anglais. La famille de sa mère vivrait en France et il ne connaîtrait pas celle de son père. Si les liens avec son pays d’origine apparaissent ainsi ténus, force est toutefois de constater que ses liens avec les membres de sa famille en Suisse sont distendus et difficiles en raison de ses infractions répétées et de son alcoolisme. On relèvera à cet égard que selon ses propres déclarations, il ne reçoit de visite en prison que de la part de la mère de l’une de ses filles et d’une amie. Au vu de l’ensemble de ces éléments, l'intérêt public à l'expulsion l'emporte sur l'intérêt de l'appelant au respect de sa vie familiale. La décision d'expulsion doit ainsi être confirmée.</w:t>
      </w:r>
    </w:p>
    <w:p>
      <w:r>
        <w:rPr>
          <w:b/>
        </w:rPr>
        <w:t>E. 5.3</w:t>
      </w:r>
    </w:p>
    <w:p>
      <w:r>
        <w:t>;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 ATF 133 IV 9 consid. 4.1 ; ATF 130 IV 58 consid. 8.4 ; ATF 125 IV 242 consid.</w:t>
      </w:r>
    </w:p>
    <w:p>
      <w:r>
        <w:t>- 16 - 3c).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 ATF 125 IV 242 consid. 3c ; ATF 121 IV 249 consid. 3a/aa). En conséquence, le juge doit exposer ces éléments extérieurs le plus exhaustivement possible, afin que l'on puisse discerner ce qui l'a conduit à retenir que l'auteur a envisagé le résultat dommageable et s'en est accommodé (ATF 125 IV 242 consid. 3c ; ATF 121 IV 249 consid. 3a/aa). La jurisprudence a répété à plusieurs reprises que l'équivalence des deux formes de dol - direct et éventuel - vaut également par rapport à la tentative, et cela pour toutes les formes de tentative, y compris le délit manqué (ATF 122 IV 246 consid. 3a ; ATF 120 IV 17 consid. 2c ; ATF 120 IV 199 consid. 3e ; ATF 112 IV 65 consid. 3b ; SJ 2000 I 358, consid. 4). 3.3 Il est indéniable que l'usage d'un verre pour frapper au visage comporte des risques importants de lésions. Comme l'a retenu le premier juge, la probabilité de défigurer la victime en la tailladant apparait élevée. En l'espèce, le verre s'est brisé sous la force du coup et des débris de verre ont été retrouvés dans le visage de la victime. Le risque de défiguration était donc concret et on ne voit pas que l'appelant ne puisse pas en avoir été conscient, même sous l'influence de l'alcool. En outre, il était particulièrement agressif et vindicatif, insultant également sa victime. En étant sous l'influence de l'alcool et en agressant violemment et sans motif le plaignant d'emblée au visage au moyen d'un verre,</w:t>
      </w:r>
    </w:p>
    <w:p>
      <w:r>
        <w:t>- 17 - l'appelant doit se voir opposer le constat qu'il s'est accommodé du risque de causer des lésions corporelles graves. En effet, les éléments externes de l'acte montrent une très haute probabilité de réalisation du risque. Le fait que le résultat ne se soit en définitive pas produit n'a pour seule conséquence que l'infraction est restée à sa forme tentée. Le premier moyen doit donc être rejeté. 4. 4.1 L'appelant se fonde ensuite sur le rapport d'expertise qui a été rendu en 2014 pour solliciter une mesure au sens de l'art. 60 CP, soit un traitement des addictions. Il fait valoir qu'il serait toujours dépendant à l'alcool, qu'il serait motivé à suivre un tel traitement et que « tout homme aurait droit à une deuxième chance ». 4.2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Aux termes de l'art. 56 al. 3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4.3 Le premier juge a considéré que le traitement préconisé en 2014 avait déjà été tenté et avait échoué, l'appelant n'étant resté qu'un jour dans l'institution. Cette appréciation est adéquate. Jusqu'à présent l'appelant a mis en échec tout ce qui avait été tenté par la justice, récidivant après chaque sanction prononcée. La volonté affichée par le prévenu de traiter ses problèmes d'alcool dans le cadre de la procédure contraste avec les 15 condamnations figurant à son casier judiciaire et qui n'ont eu aucune influence sur son comportement délictueux. L'appelant a</w:t>
      </w:r>
    </w:p>
    <w:p>
      <w:r>
        <w:t>- 18 - échoué dans toutes les occasions d'éducation, de formation et de soins qui lui ont été offertes par le Tribunal des mineurs et les juridictions qui ont suivi, de sorte que l'opportunité d'offrir « une deuxième chance » est passée depuis bien longtemps. Les chances de succès d'un éventuel traitement des addictions sont ainsi beaucoup trop faibles pour envisager une telle mesure.</w:t>
      </w:r>
    </w:p>
    <w:p>
      <w:r>
        <w:rPr>
          <w:b/>
        </w:rPr>
        <w:t>E. 6</w:t>
      </w:r>
    </w:p>
    <w:p>
      <w:r>
        <w:t>L’appelant ne conteste pas la peine en tant que telle. Examinée d’office, la Cour d’appel considère que la peine privative de liberté de 8 mois, la peine pécuniaire de 10 jours à 10 fr. et l’amende de 200 fr. prononcées par le premier juge ont été fixées en application des critères légaux à charge et à décharge et conformément à la culpabilité et à la situation personnelle de X.________. Il peut être renvoyé à la motivation du jugement attaqué à cet égard (pp. 16 à 18 ; art. 82 al. 4 CPP). Ces peines doivent être confirmées, étant précisé que le nouveau droit des sanctions en vigueur dès le 1er janvier 2018 n’est pas plus favorable dans le cas particulier, de sorte que l’ancien droit a été appliqué (art. 2 al. 2 CP).</w:t>
      </w:r>
    </w:p>
    <w:p>
      <w:r>
        <w:rPr>
          <w:b/>
        </w:rPr>
        <w:t>E. 7</w:t>
      </w:r>
    </w:p>
    <w:p>
      <w:r>
        <w:t>La détention subie depuis le jugement de première instance sera déduite, étant précisé que la détention excédant la peine prononcée sera imputée sur les condamnations prononcées les 3 février, 12 avril et 13 juillet 2017 que doit exécuter l’appelant (cf. P. 48). Le maintien en détention pour des motifs de sûreté de X.________ sera ordonné pour garantir l'exécution de la peine, vu le risque de fuite qu’il présente (art. 221 al. 1 let. a CPP). En effet, en l’absence de statut de séjour en Suisse, il est à craindre que l’appelant soit tenté d’entrer dans la clandestinité.</w:t>
      </w:r>
    </w:p>
    <w:p>
      <w:r>
        <w:t>- 22 -</w:t>
      </w:r>
    </w:p>
    <w:p>
      <w:r>
        <w:rPr>
          <w:b/>
        </w:rPr>
        <w:t>E. 8</w:t>
      </w:r>
    </w:p>
    <w:p>
      <w:r>
        <w:t>En définitive, l'appel doit être rejeté et le jugement attaqué intégralement confirmé. Sur la base de la liste d’opérations qu’elle a produite, une indemnité pour la procédure d’appel d'un montant de 2'670 fr. 95 sera allouée à Me Carola Massatsch, TVA et débours inclus. A cet égard, il convient de préciser que ce montant comprend une heure et trente minutes pour l’audience d’appel au lieu des deux heures annoncées, trois vacations au lieu de quatre (dans la mesure où celle du 22 mars 2018 ne se rapporte pas à la procédure d’appel et figure également sur la liste d’opérations prise en compte par le premier juge) ainsi qu’un forfait de 50 fr. pour les débours. Vu l'issue de la cause, les frais de la procédure d'appel, par 4'830 fr. 95, constitués en l’espèce de l'émolument du présent arrêt, par 2’160 fr. (art. 21 al. 1 et 2 TFIP [Tarif des frais de procédure et indemnités en matière pénale du 28 septembre 2010 ; RSV 312.03.1]), et de l’indemnité allouée au défenseur d’office, seront mis à la charge de X.________, qui succombe (art. 428 al. 1 CPP). X.________ ne sera tenu de rembourser à l’Etat l’indemnité due à son défenseur d’office que lorsque sa situation financière le permettra.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