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PE17.019156 vom 15. Juni 2018</w:t>
      </w:r>
    </w:p>
    <w:p>
      <w:r>
        <w:t>VD Tribunal cantonal, 2018-06-15, FR</w:t>
      </w:r>
    </w:p>
    <w:p>
      <w:r>
        <w:rPr>
          <w:b/>
        </w:rPr>
        <w:t xml:space="preserve">Quelle: </w:t>
      </w:r>
      <w:r>
        <w:t>https://mcp.opencaselaw.ch/entscheid/vd_gerichte_PE17.019156</w:t>
      </w:r>
    </w:p>
    <w:p>
      <w:r>
        <w:t>FR: VD_GERICHTE PE17.019156 du 15 juin 2018</w:t>
      </w:r>
    </w:p>
    <w:p>
      <w:r>
        <w:t>IT: VD_GERICHTE PE17.019156 del 15 giugno 2018</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au sens des art. 393 ss CPP (Stephenson/Thiriet, in :</w:t>
      </w:r>
    </w:p>
    <w:p>
      <w:r>
        <w:t>- 3 -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w:t>
      </w:r>
    </w:p>
    <w:p>
      <w:r>
        <w:t>Le recourant conteste la jonction des deux procédures pénales. Il fait valoir, en substance, que sa fille ne serait pas concernée par les faits qui lui sont reprochés.</w:t>
      </w:r>
    </w:p>
    <w:p>
      <w:r>
        <w:rPr>
          <w:b/>
        </w:rPr>
        <w:t>E. 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Selon l’art. 29 al. 1 let. a CPP, les infractions sont poursuivies et jugées conjointement lorsqu’un prévenu a commis plusieurs infractions. Ce principe de l'unité de la procédure découle de l’art. 49 CP (Code pénal suisse du 21 décembre 1937 ; RS 311.0),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w:t>
      </w:r>
    </w:p>
    <w:p>
      <w:r>
        <w:t>- 4 - 2e éd., Bâle 2016, n. 3 ad art. 29 CPP). La règle générale de l’art. 29 al. 1 CPP tend ainsi à éviter au prévenu de devoir comparaître devant plusieurs tribunaux à raison des faits qui lui sont reprochés (Moreillon/Parein- Reymond, op. cit., n. 4 ad art. 29 CPP). Elle tend également à éviter des jugements contradictoires et sert l’économie de la procédure (ATF 138 IV 214 consid. 3.2 ; ATF 138 IV 29 consid. 3.2). Dans ces circonstances, le ministère public peut être tenu de joindre des procédures à l’encontre du même prévenu quand bien même la nature des infractions serait fort différente (ATF 138 IV 214 consid. 3.6). La règle est identique à l’art. 29 al. 1 let. b CPP. Les infractions seront poursuivies et jugées conjointement s’il y a plusieurs coauteurs ou participants (TF 6B_1026/2017 du 1er juin 2018 consid. 1.1). L’interprétation jurisprudentielle est la même. Il n’y a en principe aucun droit à un jugement unique (Moreillon/Parein-Reymond, op. cit., n. 7 ad art. 29 CPP).</w:t>
      </w:r>
    </w:p>
    <w:p>
      <w:r>
        <w:rPr>
          <w:b/>
        </w:rPr>
        <w:t>E. 2.2</w:t>
      </w:r>
    </w:p>
    <w:p>
      <w:r>
        <w:t>En l’espèce, s’il est vrai que les faits à l’origine de la plainte déposée par la station-service [...] le 8 septembre 2017 (dossier PE17.019156-ERY, P. 5/1) et de la plainte déposée par [...] SA le 19 octobre 2017 (dossier PE17.019156-ERY, P. 10) ne concernent pas la fille du recourant, celle-ci se trouve néanmoins impliquée dans l’accident de la circulation du 21 mars 2018, car les plaques dont le recourant s’est servi étaient au nom de sa fille et hors circulation depuis le 3 juin 2014 (dossier PE17.019156-ERY, P. 13). La fille du recourant est en outre prévenue dans le cadre de l’enquête PE18.007476-ERY pour avoir, en substance, toléré que son père roule avec son véhicule alors que son permis de conduire lui avait été retiré (dossier PE18.007476-ERY, P. 6/1). Il s’ensuit que les deux dossiers sont bien connexes. On ne distingue en outre pas en quoi la jonction des enquêtes porterait préjudice au recourant ou à sa fille. C’est donc à juste titre que le Procureur a ordonné la jonction des deux procédures pénales.</w:t>
      </w:r>
    </w:p>
    <w:p>
      <w:r>
        <w:t>- 5 -</w:t>
      </w:r>
    </w:p>
    <w:p>
      <w:r>
        <w:rPr>
          <w:b/>
        </w:rPr>
        <w:t>E. 3</w:t>
      </w:r>
    </w:p>
    <w:p>
      <w:r>
        <w:t>En définitive, le recours, manifestement mal fondé, doit être rejeté sans autre échange d’écritures (art. 390 al. 2 CPP) et l’ordonnance attaquée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mai 2018 est confirmée. III. Les frais d’arrêt, par 550 fr. (cinq cent cinquante francs), sont mis à la charge de A.Z.________. IV. L’arrêt est exécutoire. Le président : La greffière : Du Le présent arrêt, dont la rédaction a été approuvée à huis clos, est notifié, par l'envoi d'une copie complète, à : - M. A.Z.________,</w:t>
      </w:r>
    </w:p>
    <w:p>
      <w:r>
        <w:t>- 6 - - Mme B.Z.________, - Station-service [...], - [...] 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