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PE17.018912 vom 22. Dezember 2017</w:t>
      </w:r>
    </w:p>
    <w:p>
      <w:r>
        <w:t>VD Tribunal cantonal, 2017-12-22, FR</w:t>
      </w:r>
    </w:p>
    <w:p>
      <w:r>
        <w:rPr>
          <w:b/>
        </w:rPr>
        <w:t xml:space="preserve">Quelle: </w:t>
      </w:r>
      <w:r>
        <w:t>https://mcp.opencaselaw.ch/entscheid/vd_gerichte_PE17.018912</w:t>
      </w:r>
    </w:p>
    <w:p>
      <w:r>
        <w:t>FR: VD_GERICHTE PE17.018912 du 22 décembre 2017</w:t>
      </w:r>
    </w:p>
    <w:p>
      <w:r>
        <w:t>IT: VD_GERICHTE PE17.018912 del 22 dicembre 2017</w:t>
      </w:r>
    </w:p>
    <w:p>
      <w:pPr>
        <w:pStyle w:val="Heading2"/>
      </w:pPr>
      <w:r>
        <w:t>Erwägungen</w:t>
      </w:r>
    </w:p>
    <w:p>
      <w:r>
        <w:rPr>
          <w:b/>
        </w:rPr>
        <w:t>E. 4</w:t>
      </w:r>
    </w:p>
    <w:p>
      <w:r>
        <w:t>Il résulte de ce qui précède que le recours doit être rejeté et les ordonnances entreprises confirmées. Les frais de la procédure de recours,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Les ordonnances des 6 et 18 octobre 2017 sont confirmées. III. Les frais d'arrêt, par 1'210 fr. (mille deux cent dix francs), sont mis à la charge de A.N.________. IV. L’arrêt est exécutoire. Le président : La greffière: Du Le présent arrêt, dont la rédaction a été approuvée à huis clos, est notifié, par l'envoi d'une copie complète, à : - Me Marc Cheseaux, avocat (pour A.N.________), - Ministère public central,</w:t>
      </w:r>
    </w:p>
    <w:p>
      <w:r>
        <w:t>- 13 - et communiqué à : - Monsieur le Procureur du Ministère public central, Division criminalité économique, - Office fédéral de la police, MROS, - P.________, -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