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PE17.018077 vom 6. Dezember 2019</w:t>
      </w:r>
    </w:p>
    <w:p>
      <w:r>
        <w:t>VD Tribunal cantonal, 2019-12-06, FR</w:t>
      </w:r>
    </w:p>
    <w:p>
      <w:r>
        <w:rPr>
          <w:b/>
        </w:rPr>
        <w:t xml:space="preserve">Quelle: </w:t>
      </w:r>
      <w:r>
        <w:t>https://mcp.opencaselaw.ch/entscheid/vd_gerichte_PE17.018077</w:t>
      </w:r>
    </w:p>
    <w:p>
      <w:r>
        <w:t>FR: VD_GERICHTE PE17.018077 du 6 décembre 2019</w:t>
      </w:r>
    </w:p>
    <w:p>
      <w:r>
        <w:t>IT: VD_GERICHTE PE17.018077 del 6 dicembre 2019</w:t>
      </w:r>
    </w:p>
    <w:p>
      <w:pPr>
        <w:pStyle w:val="Heading2"/>
      </w:pPr>
      <w:r>
        <w:t>Erwägungen</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TF 6B_1422/2017 du 5 juin 2018 consid. 3.1 et les réf. citées).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w:t>
      </w:r>
    </w:p>
    <w:p>
      <w:r>
        <w:t>- 19 - preuves complémentaires nécessaires au traitement du recours (art. 389 al. 3 CPP).</w:t>
      </w:r>
    </w:p>
    <w:p>
      <w:r>
        <w:t>- 20 -</w:t>
      </w:r>
    </w:p>
    <w:p>
      <w:r>
        <w:rPr>
          <w:b/>
        </w:rPr>
        <w:t>E. 2.1</w:t>
      </w:r>
    </w:p>
    <w:p>
      <w:r>
        <w:t>A Moudon notamment, entre mai 2017 et novembre 2018, le prévenu a consommé à une reprise de la cocaïne et quotidiennement du cannabis.</w:t>
      </w:r>
    </w:p>
    <w:p>
      <w:r>
        <w:rPr>
          <w:b/>
        </w:rPr>
        <w:t>E. 2.2</w:t>
      </w:r>
    </w:p>
    <w:p>
      <w:r>
        <w:t>A Yvonand, [...], dans le courant du mois d’août 2017, le prévenu s’est rendu au [...] dans l’intention de rencontrer son épouse sur le lieu de travail de celle-ci. Alors qu’elle servait des clients à la caisse, il s’est adressé à elle et lui a réclamé sa fille en se plaignant de ne jamais voir l’enfant. B.A.________ lui a répondu que la question du droit de visite devait être tranchée par la justice et qu’il pouvait voir sa fille par le biais du Point Rencontre. Le prévenu a haussé fortement la voix en disant que c’était de la faute de son épouse s’il ne pouvait pas voir sa fille, a tapé du poing sur le comptoir et a hurlé que sa femme ne l’avait épousé que pour les papiers, effrayant son épouse, le personnel du magasin et les clients. Il a notamment déclaré ce qui suit : "tu m'as volé ma fille, c'est de ta faute si je fais de la prison, si je fais plus de prison pour te faire du mal, pour moi ce n'est rien". Il a été sorti du magasin par un tiers qui l’accompagnait. B.A.________ s’est constituée partie plaignante demanderesse au pénal et au civil les 20 septembre et 2 octobre 2017. Elle a le statut de victime LAVI.</w:t>
      </w:r>
    </w:p>
    <w:p>
      <w:r>
        <w:rPr>
          <w:b/>
        </w:rPr>
        <w:t>E. 2.3</w:t>
      </w:r>
    </w:p>
    <w:p>
      <w:r>
        <w:t>A Yvonand, le 19 septembre 2017, vers 10h00, le prévenu s’est à nouveau rendu au [...] pour parler à son épouse, qui était en train de prendre sa pause à l’extérieur du bâtiment. Il lui a de nouveau réclamé leur fille. B.A.________ lui a répété que c’était la justice qui devait fixer le droit de visite et qu’il pouvait aller au Point Rencontre. Le prévenu a alors déclaré ce qui suit : "je m'en fous, ce soir je viens chercher la petite et je vais vous égorger toi et ton copain, comme ça [...] sera toute seule. J'ai fait 17 mois de prison, si je fais 20 ans, je m'en fous". B.A.________ s’est constituée partie plaignante demanderesse au pénal et au civil les 20 septembre et 2 octobre 2017.</w:t>
      </w:r>
    </w:p>
    <w:p>
      <w:r>
        <w:t>- 16 -</w:t>
      </w:r>
    </w:p>
    <w:p>
      <w:r>
        <w:rPr>
          <w:b/>
        </w:rPr>
        <w:t>E. 2.4</w:t>
      </w:r>
    </w:p>
    <w:p>
      <w:r>
        <w:t>A [...], [...], au [...], le 7 janvier 2018, le prévenu, à l’occasion de l’exercice de son droit de visite sur sa fille, a menacé de frapper son épouse et d’enlever sa fille. Il est sorti des locaux malgré les injonctions des intervenants du [...], a dit qu’il voulait "casser du flic" et a proféré des menaces et des insultes à l’encontre du personnel du [...]. B.A.________ s’est portée partie plaignante demanderesse au pénal et au civil le 16 janvier 2018.</w:t>
      </w:r>
    </w:p>
    <w:p>
      <w:r>
        <w:rPr>
          <w:b/>
        </w:rPr>
        <w:t>E. 2.5</w:t>
      </w:r>
    </w:p>
    <w:p>
      <w:r>
        <w:t>A Yvonand, [...], le 29 mars 2018, vers 17h30, le prévenu s’est rendu [...] où travaillait son épouse. Reconnaissant le gérant du magasin, [...], le prévenu est allé vers lui et lui a dit qu’il voulait voir sa fille. Le gérant lui a répondu qu’il n’avait pas le droit d’être là et qu’il devait partir pour éviter des ennuis. Le prévenu s’est mis à crier et a traité [...] de "connard" et qu’il n’avait pas à écouter "cette pute de menteuse de kosovare qui est sa femme". Le prévenu a ensuite adopté une attitude provoquante à l’encontre du concierge de l’immeuble qui était arrivé dans l’intervalle. Il a encore échangé quelques mots sur sa situation avec [...]. Voyant que la discussion n’amenait rien, ce dernier est parti pour entrer dans le centre commercial. Alors qu’il avait le dos tourné, le prévenu lui a agrippé la joue en lui mettant les doigts à l’intérieur de la bouche et l’a secoué violemment pendant plusieurs secondes. Le concierge de l’immeuble est intervenu pour libérer [...]. Le prévenu a alors quitté les lieux. [...] a subi une griffure linéaire de 5 cm au niveau de la face interne de la joue et des douleurs de l’épaule droite. Il s’est porté partie plaignante, demandeur au pénal et au civil, le 6 avril 2018. B.A.________ s’est portée partie plaignante, demanderesse au pénal et au civil, le 5 avril 2018.</w:t>
      </w:r>
    </w:p>
    <w:p>
      <w:r>
        <w:rPr>
          <w:b/>
        </w:rPr>
        <w:t>E. 2.6</w:t>
      </w:r>
    </w:p>
    <w:p>
      <w:r>
        <w:t>(plainte retirée)</w:t>
      </w:r>
    </w:p>
    <w:p>
      <w:r>
        <w:t>- 17 -</w:t>
      </w:r>
    </w:p>
    <w:p>
      <w:r>
        <w:rPr>
          <w:b/>
        </w:rPr>
        <w:t>E. 2.7</w:t>
      </w:r>
    </w:p>
    <w:p>
      <w:r>
        <w:t>A Moudon, dans le courant de la semaine du 19 novembre 2018, le prévenu a envoyé au frère de son épouse un message dont la teneur était la suivante : "où je vais la croiser, je vais la tuer". Le prévenu a également envoyé un message vocal au cousin de son épouse en la traitant de "pute" et en disant qu’il avait tout fait pour elle et que ça allait être la guerre. B.A.________ s’est portée partie plaignante demanderesse au pénal et au civil le 29 novembre 2018.</w:t>
      </w:r>
    </w:p>
    <w:p>
      <w:r>
        <w:rPr>
          <w:b/>
        </w:rPr>
        <w:t>E. 2.8</w:t>
      </w:r>
    </w:p>
    <w:p>
      <w:r>
        <w:t>Dans la matinée du 29 novembre 2018, depuis le domicile de sa sœur sis à Lausanne, le prévenu a contacté téléphoniquement le Service de Protection de la Jeunesse (SPJ) et a déclaré à son interlocuteur qu’il était armé, qu’il se trouvait à proximité du domicile de son épouse et qu’il voulait la supprimer. Le même jour, le prévenu a publié les messages suivants sur son compte Facebook : "4ans que sa dur je veux mettre un terme. Je la tue sa mère avant Noël." "Ta mère c’est une Grose Pute de Kosovar Désoler ma fille tu devra vivre avec elle. Quand le jour tu comprendrra bein fait moi signe si je vivrai encore ?? N’oublie pas j’ai écrit un livre pour toi il et chez mon Avocat t’aurra ma version des fait. (LaVériter). Quand tu comprendrra que ta mère s’etais une menteuse et une pute qui c est marier pour un passeport un Statut Docial. Trop marrant. J’éspère quel crève ettouffer par ses connerie. Ou par mes propre main. Car j’ai envie de l’étrangler chaque jour depuis 4ans sans toi. Ta mère ma tuer." "Mes vœux pour Noêl une guerre Total au Kosovo. Et pour une Epuration Capitalisme. MORT A LA CORUPTION !" "Ma Mère s’étais une grose Pute. Normal quel soye morte de la main de sa Création." "Pour la fin d’année 2018… je vais offrir un superbe cadeau a la pute qui ma enlever ma fille. A Bientôt dans les fait." (sic) Le prévenu a également publié un sondage sur le site Facebook en proposant les choix suivants aux internautes : "je la tue" versus "je me limoge devant tout". Il a publié un deuxième sondage, en mentionnant "Vote pour une épuration Kosovar en Suisse dans le monde et au kosovo ? oui versus non" (sic).</w:t>
      </w:r>
    </w:p>
    <w:p>
      <w:r>
        <w:t>- 18 - Le 30 novembre 2018, lors de son audition d’arrestation, le prévenu a déclaré à la procureure que, s’il n’était pas placé en détention, il irait tuer sa femme et étrangler ses cousins de ses propres mains. B.A.________ s’est portée partie plaignante demanderesse au pénal et au civil le 29 novembre 2018. En d roit : 1. Interjetés dans les formes et délais légaux (art. 385 et 399 CPP), par des parties qui ont la qualité pour recourir (art. 382 CPP) contre le jugement d’un tribunal de première instance qui a clos la procédure (art. 398 al. 1 CPP), l’appel principal et l’appel joint sont recevables.</w:t>
      </w:r>
    </w:p>
    <w:p>
      <w:r>
        <w:rPr>
          <w:b/>
        </w:rPr>
        <w:t>E. 3</w:t>
      </w:r>
    </w:p>
    <w:p>
      <w:r>
        <w:t>Appel principal d’A.A.________</w:t>
      </w:r>
    </w:p>
    <w:p>
      <w:r>
        <w:rPr>
          <w:b/>
        </w:rPr>
        <w:t>E. 3.1</w:t>
      </w:r>
    </w:p>
    <w:p>
      <w:r>
        <w:t>L’appelant invoque une violation de l’art. 59 CP. Il considère, en substance, qu’en ordonnant un traitement institutionnel, les premiers juges se sont substitués à l’avis de l’expert qui ne préconisait pas un tel traitement.</w:t>
      </w:r>
    </w:p>
    <w:p>
      <w:r>
        <w:rPr>
          <w:b/>
        </w:rPr>
        <w:t>E. 3.2.1</w:t>
      </w:r>
    </w:p>
    <w:p>
      <w:r>
        <w:t>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La décision du juge doit respecter le principe constitutionnel de la proportionnalité (art. 36 al. 3 Cst. [Constitution fédérale de la Confédération suisse du 18 avril 1999; RS 101]). Selon l'art. 56 al. 2 CP, le prononcé d'une mesure suppose que l'atteinte aux droits de la personnalité qui en résulte pour l'auteur ne soit pas disproportionnée au regard de la vraisemblance qu'il commette de nouvelles infractions et de leur gravité. Cette disposition postule de la sorte la pesée à effectuer entre l'atteinte aux droits inhérente à la mesure ordonnée et la dangerosité de l'auteur. D'autre part, l'art. 56a CP dispose que si plusieurs mesures s'avèrent appropriées, mais qu'une seule est nécessaire, le juge ordonne celle qui porte à l'auteur les atteintes les moins graves. En effet, eu égard à la gravité de l'atteinte à la liberté personnelle que constitue le traitement institutionnel, le cas échéant dans un milieu fermé, cette mesure ne doit être ordonnée qu'à titre d'ultima ratio lorsque la dangerosité existante ne peut être écartée autrement (TF 6B_457/2007 du 12 novembre 2007 consid. 5.2, avec référence à l'ATF 118 IV 108 consid. 2a et les références citées).</w:t>
      </w:r>
    </w:p>
    <w:p>
      <w:r>
        <w:rPr>
          <w:b/>
        </w:rPr>
        <w:t>E. 3.2.2</w:t>
      </w:r>
    </w:p>
    <w:p>
      <w:r>
        <w:t>Lorsque l'auteur souffre d'un grave trouble mental, le juge peut ordonner un traitement institutionnel si l'auteur a commis un crime ou un délit en relation avec ce trouble et s'il est à prévoir que cette</w:t>
      </w:r>
    </w:p>
    <w:p>
      <w:r>
        <w:t>- 21 - mesure le détournera de nouvelles infractions en relation avec ce trouble (art. 59 al. 1 CP). Le traitement institutionnel s’effectue dans un établissement psychiatrique approprié ou dans un établissement d’exécution des mesures (al. 2). Il s’effectue dans un établissement fermé tant qu’il y a lieu de craindre que l’auteur ne s’enfuie ou ne commette de nouvelles infractions (al. 3). Il peut aussi être effectué dans un établissement pénitentiaire au sens de l’art. 76 al. 2 CP, dans la mesure où le traitement thérapeutique nécessaire est assuré par du personnel qualifié (al. 3).</w:t>
      </w:r>
    </w:p>
    <w:p>
      <w:r>
        <w:rPr>
          <w:b/>
        </w:rPr>
        <w:t>E. 3.2.3</w:t>
      </w:r>
    </w:p>
    <w:p>
      <w:r>
        <w:t>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et sur les possibilités de faire exécuter la mesure (art. 56 al. 3 CP). L'expert devra ainsi se prononcer, en particulier, sur la forme du traitement et la mesure qui lui semble la plus appropriée (TF 6B_28/2017 du 23 janvier 2018 consid. 3.3.3; TF 6B_133/2017 du 12 janvier 2018 consid. 1.2 notamment).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w:t>
      </w:r>
    </w:p>
    <w:p>
      <w:r>
        <w:t>- 22 - faisant l'objet de l'expertise (TF 6B_893/2019 du 10 septembre 2019 consid. 1.1 et les références citées; TF 6B_1160/2017 du 17 avril 2018 consid. 2.1; cf. aussi Sträuli, in : Roth/Moreillon [éd.], Commentaire romand, Code pénal I, Art. 1-110 CP, Bâle 2009, nn. 34 et ss ad art. 20 CP et les références).</w:t>
      </w:r>
    </w:p>
    <w:p>
      <w:r>
        <w:rPr>
          <w:b/>
        </w:rPr>
        <w:t>E. 3.3</w:t>
      </w:r>
    </w:p>
    <w:p>
      <w:r>
        <w:t>En l’espèce, la première condition posée par l’art. 59 CP est remplie, dès lors que le prévenu souffre d’un grave trouble mental. La deuxième condition l’est également, puisque les délits reprochés sont en relation avec ce trouble. La troisième condition légale, soit celle de la prévention du risque de récidive par la mise en place du traitement institutionnel, doit en revanche être examinée. D’emblée, on rappelle que c’est le traitement et non la privation de liberté qui doit conserver une chance de succès au titre de la prévention spéciale, à défaut de quoi il s’agirait d’un internement déguisé. Il doit être procédé à l’évaluation de la force probante de l’expertise conformément aux principes résumés au considérant 3.2 ci- dessus. En ordonnant une mesure de l’art. 59 CP que l’expert ne préconisait pas au vu de la rigidification du trouble (paranoïaque) de l’appelant (P. 90, p. 7), les premiers juges se sont écartés des conclusions de l’expertise. Les premiers juges n’ont pas ignoré ou mal compris les propos de l’expert (cf. jugement, p. 44/45). L’appelant n’en disconvient pas. Ils ont toutefois considéré, au vu des propos tenus par le prévenu aux débats, qui témoignaient d’un désir d’évoluer, qu’un espoir subsistait et qu’il fallait lui en donner les moyens. Ils ont estimé que l’espoir pouvait être raisonnement permis si cette évolution était cadrée par un traitement institutionnel dans un cadre ouvert ou semi-ouvert, l’appelant ayant suffisamment démontré par le passé son incapacité d’entamer une telle évolution s’il était livré à lui-même. Les premiers juges ont encore relevé que le prévenu n’était pas totalement réfractaire à un traitement imposé,</w:t>
      </w:r>
    </w:p>
    <w:p>
      <w:r>
        <w:t>- 23 - même s’il préférait que cela vienne de lui-même. Ils ont souligné qu’il souhaitait être « au calme » (jugement, p. 45). Pour parvenir à la conclusion qu’aucun traitement d’aucune sorte n’était envisageable, l’expert a tout d’abord relevé qu’un trouble paranoïaque était, de manière générale, une pathologie très difficile à traiter. Un traitement reste possible si la personne est consciente d’un certain trouble. Dans le cas contraire, le traitement est quasi-impossible, voire impossible (jugement, p. 4). L’appelant présente les diagnostics psychiatriques suivants : trouble de la personnalité paranoïaque avec traits impulsifs et dyssociaux (diagnostic primaire); épisode dépressif moyen; syndrome de dépendance au cannabis; utilisation d’alcool nocive pour la santé (diagnostic secondaire) (P. 90, p. 5). Pour l’expert, le problème principal de l’appelant est son trouble de la personnalité (jugement, p. 6). Ses consommations (alcool et drogue) sont des effets secondaires de ce trouble. Appelé à se prononcer sur le risque de récidive, l’expert a précisé au débats de première instance (jugement, p. 6) qu’il était élevé pour des infractions du même type. Appelé à se prononcer sur la question de savoir quels rôles jouaient les troubles secondaires sur le risque de récidive (syndrome de dépendance au cannabis et utilisation d’alcool nocive pour la santé), l’expert a considéré que l’alcool facilitait le passage à l’acte et augmentait l’impulsivité de l’appelant sans pour autant faire apparaître le risque de récidive comme faible ou nul (jugement, p. 6 s.). Appelé à se prononcer sur les effets de la médication, l’expert a relevé que le traitement médicamenteux n’avait pas grand effet sur le trouble paranoïaque mais qu’il était tout de même prescrit pour lutter contre la dimension délirante et persécutoire induite par ce trouble (jugement, p. 8). Pour le reste, l’expert a considéré que la prise de cannabis n’avait qu’un faible impact négatif, tout en reconnaissant que l’abstinence au cannabis avait semblé stabiliser l’appelant selon les observations des</w:t>
      </w:r>
    </w:p>
    <w:p>
      <w:r>
        <w:t>- 24 - soignants de la Fondation l’Arcadie, au sein de laquelle l’appelant avait été placé pendant quelques mois lors d’une précédente affaire. L’expert a insisté sur le fait qu’à sa connaissance, l’appelant n’était demandeur d’aucun soin (P. 90, p. 8 R. 5; jugement, p. 7), qu’à ce stade, il était très compliqué pour l’appelant de prendre conscience de son trouble et qu’il s’agirait d’un traitement au très long cours qui requerrait des conditions que l’appelant ne remplissait pas puisque cela supposait une prise de conscience de son trouble (jugement, p. 7). La notion de traitement médical doit être entendue de façon large : la simple prise en charge de l’intéressé dans un milieu surveillé et structuré, doublée d’un suivi psychologique relativement lâche – comme ce pourrait être le cas ici dans une structure ouverte ou semi-ouverte –, constitue déjà un traitement, s’il a pour effet prévisible d’améliorer l’état de l’intéressé de manière à permettre sa réinsertion (ATF 137 IV 201; Dupuis/Moreillon/Piguet/Berger/Mazou/Rodigari [éd.], Petit commentaire CP, 2e éd., Bâle 2017, n. 12 ad art. 59 CP). Il apparaît que l’expert s’est focalisé sur le fait que l’appelant doit pouvoir reconnaître son trouble pour être éligible à un traitement institutionnel. Ce faisant, l’expert perd de vue, dans cette approche très théorique, que, livré à lui-même, l’appelant ne bénéficiera plus d’aucun cadre. Cela ne peut qu’entraîner un arrêt de sa médication destinée à combattre la dimension délirante et persécutoire de son trouble, ainsi qu’une reprise de la consommation d’alcool – dont il est dit qu’elle favorise le risque de récidive – et du cannabis, dont l’abstinence permet de le stabiliser. Par ailleurs, contrairement à ce qu’affirme l’expert, une évolution relativement favorable se dessine, puisque l’appelant est désormais demandeur de soins allant jusqu’à ne pas être totalement réfractaire à des soins imposés (jugement, p. 24). Le but d’un traitement institutionnel est de détourner l’auteur de commettre de nouvelles infractions. Selon l’expert, l’abstinence à l’alcool et au cannabis a un effet positif – et pas seulement marginal – sur le comportement de l’appelant. Il y a ainsi une intrication entre le</w:t>
      </w:r>
    </w:p>
    <w:p>
      <w:r>
        <w:t>- 25 - diagnostic primaire et secondaire. En mettant uniquement en avant l’impossibilité de soigner le diagnostic primaire, pour conclure, sur cette seule base, à l’inutilité d’un traitement de quelque sorte que ce soit, l’expert opère une césure entre le diagnostic primaire et secondaire. Ce faisant, il méconnaît les effets favorables liés à la prise en charge du traitement des troubles secondaires du prévenu, qu’il reconnaît pourtant. Il s’ensuit que l’abstinence et le traitement médicamenteux n’ont pas qu’un effet marginal sur le risque de récidive induit par le trouble paranoïaque. L’appelant évolue actuellement dans un milieu protégé et cadrant. De surcroît, l’on constate qu’il est désormais demandeur de soins. C’est l’illustration que le cadre actuel – que lui fournirait aussi un traitement institutionnel – permet une évolution favorable et, comme le relèvent à juste titre les premiers juges (jugement, p. 46), d’entrevoir un espoir et un traitement du trouble primaire. A l’inverse, il est certain, au vu des conclusions de l’expert, que l’évolution amorcée s’arrêtera et que la situation pour l’appelant se péjorera avec, à la clé, une augmentation du risque de récidive. En effet, la gravité des infractions incriminées, s’agissant singulièrement des injures et des menaces, va croissante et implique un risque de passage à l’acte, si l’on met les menaces en relation avec les actes de violence physique déjà perpétrés par le prévenu. C’est en définitive à juste titre que les premiers juges se sont écartés de l’avis de l’expert. Partant, le traitement institutionnel – qui devrait se dérouler dans un établissement psychiatrique plutôt que dans un établissement fermé (art. 59 al. 3 CP) – doit être ordonné. Il s’ensuit que l’appel principal doit être rejeté.</w:t>
      </w:r>
    </w:p>
    <w:p>
      <w:r>
        <w:rPr>
          <w:b/>
        </w:rPr>
        <w:t>E. 4</w:t>
      </w:r>
    </w:p>
    <w:p>
      <w:r>
        <w:t>Appel joint de B.A.________</w:t>
      </w:r>
    </w:p>
    <w:p>
      <w:r>
        <w:rPr>
          <w:b/>
        </w:rPr>
        <w:t>E. 4.1</w:t>
      </w:r>
    </w:p>
    <w:p>
      <w:r>
        <w:t>La partie plaignante conclut, en bref, à ce qu’interdiction soit faite à l’appelant de s’approcher d’elle, de l’enfant du couple, de ses proches, ainsi que de son entourage professionnel, de quelque manière</w:t>
      </w:r>
    </w:p>
    <w:p>
      <w:r>
        <w:t>- 26 - que ce soit (cf. aussi les conclusions civiles déposées à l’audience de première instance sous P. 155/8). Les premiers juges ont rejeté cette conclusion pour le motif qu’une procédure de divorce était en cours, que l’appelante par voie de jonction était déjà au bénéfice d’une interdiction de ce type au titre d’une ordonnance de mesures provisoires rendue par le juge du divorce, qu’il était exclu de transformer cette décision provisoire en décision définitive dans le cadre d’un jugement pénal et, qu’enfin, une telle interdiction ne pouvait s’étendre aux proches (jugement, p. 48). Par ordonnance de mesures provisionnelles rendue le 10 octobre 2017, le Président du Tribunal civil de l’arrondissement de la Broye et du Nord vaudois a ratifié pour valoir jugement l’engagement suivant pris par l’époux le 6 octobre 2017 et contresigné par l’épouse : « I. A.A.________ s’engage à exercer ses relations personnelles avec sa fille [...] (…) dans les strictes limites qui sont et seront définies par l’autorité judiciaire compétente. Hors du cadre fixé, il s’engage à ne pas prendre contact d’une quelconque manière avec sa fille, ni à provoquer des rencontres physiques. II. A.A.________ s’engage à ne pas prendre contact d’une quelconque manière avec B.A.________, ni à provoquer des rencontres physiques. Il s’engage en outre à se tenir hors des périmètres définis par un rayon de cinquante mètres (1) autour du domicile de B.A.________ et (2) autour du lieu de travail de B.A.________, actuellement le [...]. Les contacts relatifs aux besoins de l’exécution du droit de visite fixé judiciairement sont réservés. (…). IV. Le régime défini ci-dessus demeurera valable jusqu’à la décision provisionnelle de révocation, respectivement jusqu’à la fin de la litispendance de l’action en divorce actuellement pendante. (…) » (P. 15 et 53/2).</w:t>
      </w:r>
    </w:p>
    <w:p>
      <w:r>
        <w:rPr>
          <w:b/>
        </w:rPr>
        <w:t>E. 4.2</w:t>
      </w:r>
    </w:p>
    <w:p>
      <w:r>
        <w:t>L’art. 28b CC – norme spéciale – se situe dans le prolongement direct des art. 28 ss CC. Aux termes de l’art. 28b al. 1 CC, en cas de violence, de menaces ou de harcèlement, le demandeur peut requérir le</w:t>
      </w:r>
    </w:p>
    <w:p>
      <w:r>
        <w:t>- 27 -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Lorsqu’il ordonne des mesures de protection, le juge – qui dispose d’un pouvoir d’appréciation étendu – doit tenir compte du principe de proportionnalité, étant donné qu’elles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Le principe de proportionnalité vaut aussi pour la durée des mesures. L’art. 28b CC ne prévoyant pas de limite temporelle, le juge a la faculté de décider du caractère limité ou illimité dans le temps de celles-ci, usant en cela de son pouvoir discrétionnaire (TF 5A_377/2009 du 3 septembre 2009 consid. 5.3.2; Jeandin/Peyrot, in : Pichonnaz/Foëx [éd.], Commentaire romand, Code civil, Vol. I, Art. 1-359 CC, Bâle 2010, n. 17 ad art. 28b CC). Selon la jurisprudence, une interdiction de périmètre et de contact peut et doit être signifiée en faveur des proches de la victime, non en vue de protéger ceux-ci, mais afin d’empêcher que ceux-ci ne soient utilisés comme un moyen d’atteindre la victime. L’absence de limite temporelle à l’interdiction n’est nullement disproportionnée, puisqu’elle tend à éviter que la victime ne doive fréquemment être confrontée à sa partie adverse en vue de renouveler les mesures de protection (ATF 144 III 257). Le jugement de prétentions civiles formulées par adhésion à la procédure pénale présuppose qu’une demande civile ne soit pas pendante auprès d’un autre tribunal ou qu’elle n’ait pas fait l’objet d’une décision entrée en force (ATF 145 IV 351 consid. 4.3).</w:t>
      </w:r>
    </w:p>
    <w:p>
      <w:r>
        <w:t>- 28 -</w:t>
      </w:r>
    </w:p>
    <w:p>
      <w:r>
        <w:rPr>
          <w:b/>
        </w:rPr>
        <w:t>E. 4.3</w:t>
      </w:r>
    </w:p>
    <w:p>
      <w:r>
        <w:t>L’appelante par voie de jonction bénéficie déjà d’une interdiction de périmètre pour elle et son enfant en vertu de l’ordonnance de mesures provisionnelles rendue le 10 octobre 2017 par le juge du divorce. Elle ne peut pas prétendre à ce que le juge pénal l’ordonne une deuxième fois. S’agissant de la conclusion en interdiction de périmètre visant les proches, il doit être rappelé que les mesures de protection de la personnalité doivent répondre au principe de proportionnalité; elles doivent être adéquates, nécessaires et adaptées au cas concret. Dans le cas particulier, la mesure institutionnelle ordonnée par le tribunal correctionnel est confirmée; elle est amplement de nature à satisfaire à l’impératif de protection de la personnalité de la plaignante, de sorte que la mesure de protection civile n’apparaît pas nécessaire. L’appel joint est rejeté.</w:t>
      </w:r>
    </w:p>
    <w:p>
      <w:r>
        <w:rPr>
          <w:b/>
        </w:rPr>
        <w:t>E. 5</w:t>
      </w:r>
    </w:p>
    <w:p>
      <w:r>
        <w:t>La détention subie par l’appelant depuis le jugement de première instance doit être déduite de la peine et de la mesure institutionnelle (art. 51 CP).</w:t>
      </w:r>
    </w:p>
    <w:p>
      <w:r>
        <w:rPr>
          <w:b/>
        </w:rPr>
        <w:t>E. 6</w:t>
      </w:r>
    </w:p>
    <w:p>
      <w:r>
        <w:t>Le maintien en détention pour des motifs de sûreté d’A.A.________ doit être ordonné, vu les risques de fuite et de réitération présentés par le prévenu (art., 221 al. 1 let. a et c CPP).</w:t>
      </w:r>
    </w:p>
    <w:p>
      <w:r>
        <w:rPr>
          <w:b/>
        </w:rPr>
        <w:t>E. 7</w:t>
      </w:r>
    </w:p>
    <w:p>
      <w:r>
        <w:t>Vu l’issue des appels, les frais communs de la procédure d’appel (art. 21 al. 1 et 2 TFIP [Tarif des frais de procédure et indemnités en matière pénale du 28 septembre 2010; BLV 312.03.1]), par 2'900 fr. au total, seront mis à la charge d’A.A.________ à raison des trois quarts et à la charge de B.A.________ à raison d’un quart. En outre, A.A.________ supportera l’indemnité allouée à son défenseur d’office. L'indemnité allouée au conseil juridique gratuit de B.A.________ sera laissée à la charge de l'Etat, la plaignante ayant le statut de victime LAVI (art. 30 al. 3 LAVI; ATF 141 IV 262).</w:t>
      </w:r>
    </w:p>
    <w:p>
      <w:r>
        <w:t>- 29 - L’indemnité allouée au défenseur d’office de l’appelant pour la procédure d'appel doit être fixée sur la base d’une durée d’activité utile de onze heures pour l’avocate, en plus de 120 fr. de frais de vacation à l’audience d’appel et des débours forfaitaires, soit à 2'139 fr. 60. Compte tenu, en outre, de la TVA, l’indemnité s’élève ainsi à 2'304 fr. 35, débours et TVA compris. L’indemnité allouée au conseil juridique gratuit de l’appelante par voie de jonction pour la procédure d'appel doit être arrêtée à 1'983 fr. 85, débours et TVA compris, selon la liste d’opérations produite à l’audience. A.A.________ est tenu de rembourser l’indemnité de défense d’office ci-dessus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