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PE17.017979 vom 14. September 2018</w:t>
      </w:r>
    </w:p>
    <w:p>
      <w:r>
        <w:t>VD Tribunal cantonal, 2018-09-14, FR</w:t>
      </w:r>
    </w:p>
    <w:p>
      <w:r>
        <w:rPr>
          <w:b/>
        </w:rPr>
        <w:t xml:space="preserve">Quelle: </w:t>
      </w:r>
      <w:r>
        <w:t>https://mcp.opencaselaw.ch/entscheid/vd_gerichte_PE17.017979</w:t>
      </w:r>
    </w:p>
    <w:p>
      <w:r>
        <w:t>FR: VD_GERICHTE PE17.017979 du 14 septembre 2018</w:t>
      </w:r>
    </w:p>
    <w:p>
      <w:r>
        <w:t>IT: VD_GERICHTE PE17.017979 del 14 settembre 2018</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J.________ à l’encontre de la Procureure N.________ (art. 13 LVCPP [loi vaudoise d’introduction du code de procédure pénale suisse du 19 mai 2009 ; RSV 312.01]).</w:t>
      </w:r>
    </w:p>
    <w:p>
      <w:r>
        <w:rPr>
          <w:b/>
        </w:rPr>
        <w:t>E. 2.1</w:t>
      </w:r>
    </w:p>
    <w:p>
      <w:r>
        <w:t>Le conseil de la requérante expose qu’un risque de prévention concret existerait, à tout le moins en apparence, de la part de la Procureure envers son étude, respectivement son associé Me Youri Widmer, qui représente une partie plaignante contre la Procureure N.________. Il affirme que ce risque rejaillirait sur sa relation avec le magistrat en charge de l’enquête puisque celui-ci pourrait faire preuve de partialité en raison de son implication personnelle.</w:t>
      </w:r>
    </w:p>
    <w:p>
      <w:r>
        <w:rPr>
          <w:b/>
        </w:rPr>
        <w:t>E. 2.2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w:t>
      </w:r>
    </w:p>
    <w:p>
      <w:r>
        <w:t>- 5 -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CREP 10 mai 2017/321).</w:t>
      </w:r>
    </w:p>
    <w:p>
      <w:r>
        <w:rPr>
          <w:b/>
        </w:rPr>
        <w:t>E. 2.3</w:t>
      </w:r>
    </w:p>
    <w:p>
      <w:r>
        <w:t>En l’occurrence, suite à la plainte pénale déposée par J.________, la Procureure de l’arrondissement de l’Est vaudois N.________ a décidé, le 28 septembre 2017, de l’ouverture d’une instruction pénale contre W.________. Le 9 mai 2018, la Procureure a adressé un avis de prochaine condamnation aux parties. Le 25 juin 2018, J.________ a consulté Me Tony Donnet-Money. Ayant constaté que la Procureure en charge du dossier était la Procureure N.________, l’étude « Avocats Léman » a eu, le 27 juin 2018, un contact téléphonique avec le greffe de cette magistrate et a demandé que l’instruction de ce dossier soit confiée à un autre procureur. Ce n’est toutefois que le 30 juillet 2018 que J.________, sous la plume de son conseil, a formellement requis la récusation de la Procureure N.________. La requérante a ainsi laissé s’écouler plus d’un mois entre la découverte du motif de récusation invoqué et le dépôt de sa requête. Elle ne pouvait attendre que la Procureure se récuse spontanément mais devait réagir immédiatement. La demande de récusation est dès lors tardive et donc irrecevable.</w:t>
      </w:r>
    </w:p>
    <w:p>
      <w:r>
        <w:t>- 6 -</w:t>
      </w:r>
    </w:p>
    <w:p>
      <w:r>
        <w:rPr>
          <w:b/>
        </w:rPr>
        <w:t>E. 3</w:t>
      </w:r>
    </w:p>
    <w:p>
      <w:r>
        <w:t>Il résulte de ce qui précède que la demande de récusation déposée le 30 juillet 2018 par J.________ contre la Procureure N.________ doit être déclarée irrecevable. Les frais de la présente procédure, constitués du seul émolument de décision (art. 422 al. 1 CPP), par 660 fr. (art. 20 al. 1 TFIP [tarif des frais de procédure et indemnités en matière pénale du 28 septembre 2010 ; RSV 312.03.1]), seront mis à la charge de la requérante, conformément à l'art. 59 al. 4 CPP. Par ces motifs, la Chambre des recours pénale prononce : I. La demande de récusation présentée le 30 juillet 2018 par J.________ à l’encontre de la Procureure N.________ est irrecevable. II. Les frais de décision, par 660 fr. (six cent soixante francs), sont mis à la charge de J.________. III. La décision est exécutoire. Le président : La greffière : Du La présente décision, dont la rédaction a été approuvée à huis clos, est notifiée, par l'envoi d'une copie complète, à : - Me Tony Donnet-Money, avocat (pour J.________), - Ministère public central, et communiquée à : - Mme la Procureure de l’arrondissement de l’Est vaudois, par l’envoi de photocopies.</w:t>
      </w:r>
    </w:p>
    <w:p>
      <w:r>
        <w:t>- 7 -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