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PE17.017553 vom 21. September 2018</w:t>
      </w:r>
    </w:p>
    <w:p>
      <w:r>
        <w:t>VD Tribunal cantonal, 2018-09-21, FR</w:t>
      </w:r>
    </w:p>
    <w:p>
      <w:r>
        <w:rPr>
          <w:b/>
        </w:rPr>
        <w:t xml:space="preserve">Quelle: </w:t>
      </w:r>
      <w:r>
        <w:t>https://mcp.opencaselaw.ch/entscheid/vd_gerichte_PE17.017553</w:t>
      </w:r>
    </w:p>
    <w:p>
      <w:r>
        <w:t>FR: VD_GERICHTE PE17.017553 du 21 septembre 2018</w:t>
      </w:r>
    </w:p>
    <w:p>
      <w:r>
        <w:t>IT: VD_GERICHTE PE17.017553 del 21 settembre 2018</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w:t>
      </w:r>
    </w:p>
    <w:p>
      <w:r>
        <w:t>- 4 - En l'espèce, interjeté en temps utile et dans les formes prescrites (art. 385 al. 1 CPP) auprès de l’autorité compétente, par le prévenu qui a qualité pour recourir en tant qu’il conteste le refus du Ministère public de lui allouer une indemnité pour les dépenses occasionnées par l'exercice raisonnable de ses droits de procédure, le recours est recevable.</w:t>
      </w:r>
    </w:p>
    <w:p>
      <w:r>
        <w:rPr>
          <w:b/>
        </w:rPr>
        <w:t>E. 1.2</w:t>
      </w:r>
    </w:p>
    <w:p>
      <w:r>
        <w:t>Dès lors que le recours porte uniquement sur les conséquences économiques accessoires d'une décision et que le montant litigieux ne dépasse pas 5'000 fr., il relève de la compétence du juge unique de la Chambre des recours pénale du Tribunal cantonal (art. 395 let. b CPP et 13 al. 2 LVCPP).</w:t>
      </w:r>
    </w:p>
    <w:p>
      <w:r>
        <w:rPr>
          <w:b/>
        </w:rPr>
        <w:t>E. 2</w:t>
      </w:r>
    </w:p>
    <w:p>
      <w:r>
        <w:t>Le recourant reproche au Ministère public d’avoir refusé de lui allouer une indemnité au sens de l’art. 429 al. 1 let. a CPP. En bref, il fait valoir qu’un avocat était indispensable et qu’il n’aurait adopté aucun comportement fautif. Il requiert une indemnité de 1'754 fr. 40.</w:t>
      </w:r>
    </w:p>
    <w:p>
      <w:r>
        <w:rPr>
          <w:b/>
        </w:rPr>
        <w:t>E. 2.1.1</w:t>
      </w:r>
    </w:p>
    <w:p>
      <w:r>
        <w:t>Aux termes de l'art. 429 al. 1 let. a CPP, si le prévenu est acquitté totalement ou en partie ou s'il bénéficie d'une ordonnance de classement, il a droit à une indemnité pour les dépenses occasionnée par l'exercice raisonnable de ses droits de procédure. L'indemnité couvre en particulier les honoraires d'avocat, à condition que le recours à celui-ci procède d'un exercice raisonnable des droits de procédure (ATF 142 IV 45 consid. 2.1).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w:t>
      </w:r>
    </w:p>
    <w:p>
      <w:r>
        <w:t>- 5 -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 Concernant un délit ou un crime, ce n'est qu'exceptionnellement que l'assistance d'un avocat peut être considérée comme ne constituant pas un exercice raisonnable des droits de la défense ; tel pourrait par exemple être le cas lorsque la procédure fait immédiatement l'objet d'un classement après une première audition (ATF 138 IV 197 précité ; TF 6B_403/2015 du 25 février 2016 consid. 2.1).</w:t>
      </w:r>
    </w:p>
    <w:p>
      <w:r>
        <w:rPr>
          <w:b/>
        </w:rPr>
        <w:t>E. 2.1.2</w:t>
      </w:r>
    </w:p>
    <w:p>
      <w:r>
        <w:t>L'autorité pénale peut toutefois réduire ou refuser l'indemnité si le prévenu a provoqué illicitement et fautivement l'ouverture de la procédure (art. 430 al. 1 let. a CPP).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 TF 6B_262/2015 du 29 janvier 2016 consid. 1.2 ; CREP 7 mai 2015/315 consid. 2.2).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w:t>
      </w:r>
    </w:p>
    <w:p>
      <w:r>
        <w:t>- 6 - une indemnité pour ses frais de défense et son dommage économique ou à la réparation du tort moral (ATF 137 IV 352 consid. 2.4.2). Lorsque la condamnation aux frais n'est que partielle, la réduction de l'indemnité devrait s'opérer dans la même mesure (TF 6B_262/2015 du 29 janvier 2016 consid. 1.2 et les références citées).</w:t>
      </w:r>
    </w:p>
    <w:p>
      <w:r>
        <w:rPr>
          <w:b/>
        </w:rPr>
        <w:t>E. 2.2</w:t>
      </w:r>
    </w:p>
    <w:p>
      <w:r>
        <w:t>En l’espèce, il est vrai que le Ministère public a laissé les frais de la procédure à la charge de l’Etat. Cependant, cela n’est pas déterminant, dès lors qu’il l’a fait de manière tout à fait exceptionnelle afin de ne pas prétériter encore plus la situation financière du recourant, celui- ci bénéficiant de l’aide sociale. En l’occurrence, ce qui est déterminant, c’est la question de savoir si les conditions d’application des art. 426 al. 2 et 430 al. 1 CPP, permettant de mettre les frais à la charge du prévenu et de refuser corollairement de lui allouer une indemnité pour ses frais de défense, sont réunies.</w:t>
      </w:r>
    </w:p>
    <w:p>
      <w:r>
        <w:rPr>
          <w:b/>
        </w:rPr>
        <w:t>E. 2.3</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6B_1183/2017 du 24 avril</w:t>
      </w:r>
    </w:p>
    <w:p>
      <w:r>
        <w:t>- 7 - 2018 consid. 2.1 et les arrêts cités).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(Loi fédérale complétant le Code civil suisse du 30 mars 1911 ; RS 220) (ATF 119 Ia 332 consid. 1b ; ATF 116 Ia 162 consid. 2c). Le fait reproché doit constituer une violation claire de la norme de comportement (ATF 119 Ia 332 consid. 1b ; ATF 116 Ia 162 consid. 2d ; TF 6B_1183/2017 du 24 avril 2018 consid. 2.1).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6B_1183/2017 du 24 avril 2018 consid. 2.1 ; TF 6B_556/2017 du 15 mars 2018 consid. 2.1 ; TF 6B_1146/2016 du 14 juillet 2017 consid. 1.3). Selon la jurisprudence du Tribunal fédéral, il y a en substance comportement fautif lorsque le prévenu aurait dû se rendre compte, sur le vu des circonstances et de sa situation personnelle, que son attitude risquait de provoquer l'ouverture d'une enquête pénale. En effet, le droit civil non écrit interdit de créer un état de fait propre à causer un dommage à autrui, sans prendre les mesures nécessaires afin d'en éviter la survenance.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(cf. TF 6B_434/2008 du 29 octobre 2008 consid. 2, non publié aux ATF 135 IV 43 ; cf. aussi TF 6B_668/2009 du 5 mars 2010 consid. 3.3.3 et TF 1B_475/2012 du 10 juin 2013 consid. 2.1).</w:t>
      </w:r>
    </w:p>
    <w:p>
      <w:r>
        <w:t>- 8 -</w:t>
      </w:r>
    </w:p>
    <w:p>
      <w:r>
        <w:rPr>
          <w:b/>
        </w:rPr>
        <w:t>E. 2.4</w:t>
      </w:r>
    </w:p>
    <w:p>
      <w:r>
        <w:t>Le recourant fait valoir qu’il n’aurait violé aucune règle de comportement et n’aurait pas provoqué fautivement l’ouverture de l’action pénale. Il considère que la présente procédure pénale aurait été ouverte en raison du comportement de la [...], car celle-ci aurait déposé plainte uniquement sur la base des relevés de compte [...] et en aurait tiré des conclusions hâtives et prématurées. Il relève que la plainte se fondait certes aussi sur la décision de restitution, définitive et exécutoire, du 7 décembre 2016, mais estime que cela serait sans pertinence, dans la mesure où cette décision reposerait sur des reproches dont l’instruction pénale aurait établi qu’ils ne sont pas fondés, le recourant entendant d’ailleurs bien pour ces mêmes motifs exiger le réexamen de cette décision. En l’espèce, les griefs du recourant sont dénués de fondement. En réalité, le classement de la procédure pénale a été ordonné parce que l'enquête n'avait pas permis d'établir à satisfaction de droit que le recourant vivait de manière continue et durable en France. En revanche, il est constant que le recourant s'est absenté plus de quatre semaines par année de son domicile [...] pour se rendre en France (cf. PV aud. 5, p. 2), en violation du point 4.2 des Normes sur le Revenu d'insertion. Celles-ci prévoient en effet ce qui suit : « Le bénéficiaire ne peut s’absenter plus de</w:t>
      </w:r>
    </w:p>
    <w:p>
      <w:r>
        <w:rPr>
          <w:b/>
        </w:rPr>
        <w:t>E. 4</w:t>
      </w:r>
    </w:p>
    <w:p>
      <w:r>
        <w:t>semaines par année de son domicile habituel. Il doit en informer l’AA au préalable. Tout dépassement de cette période implique un calcul du forfait d’entretien et d’intégration sociale au prorata temporis. Si un tel dépassement sans motif devait être constaté ultérieurement, une sanction doit être prononcée et les montants d’aide restitués » (P.18/2). La décision de restitution du 7 décembre 2016, définitive et exécutoire, est d’ailleurs fondée notamment sur le fait que le recourant a largement excédé son droit annuel de quatre semaines d’absence par année de son domicile habituel (P. 5/8). Ainsi, force est de constater que le recourant a clairement violé une norme de comportement sanctionnée sur le plan administratif par la restitution des montants d’aide indûment perçus et qu’il devait se rendre compte que son attitude risquait de provoquer l'ouverture d'une</w:t>
      </w:r>
    </w:p>
    <w:p>
      <w:r>
        <w:t>- 9 - enquête pénale et de causer à la collectivité le dommage que constituent les frais liés à une instruction pénale ouverte inutilement. L’instruction pénale n’a d’ailleurs pas été ouverte par excès de zèle, ensuite d'une mauvaise analyse de la situation ou par précipitation, mais sur la base d’éléments fondant des soupçons sérieux de la commission d’une infraction pénale, un classement ayant finalement été prononcé parce que l'enquête pénale, après audition du prévenu et de trois témoins, n'a pas permis d'établir à satisfaction de droit que le recourant vivait de manière continue et durable en France. Par conséquent, c’est à juste titre que, dans son ordonnance de classement, le Procureur a refusé d’allouer à X.________ une indemnité au sens de l’art. 429 al. 1 let. a CPP. 3. En définitive, le recours, manifestement mal fondé, doit être rejeté sans échange d’écritures (art. 390 al. 2 CPP) et l’ordonnance attaquée confirmée Les frais de la procédure de recours, constitués du seul émolument d’arrêt, par 720 fr. (art. 20 al. 1 TFIP [Tarif des frais judiciaires de procédure et indemnités en matière pénale du 28 septembre 2010 ; RSV 312.03.1]), seront mis à la charge du recourant, qui succombe (art. 428 al. 1 CPP). Par ces motifs, le juge unique prononce : I. Le recours est rejeté. II. L’ordonnance du 15 août 2018 est confirmée. III. Les frais d’arrêt, par 720 fr. (sept cent vingt francs), sont mis à la charge de X.________.</w:t>
      </w:r>
    </w:p>
    <w:p>
      <w:r>
        <w:t>- 10 - IV. L’arrêt est exécutoire. Le juge unique : Le greffier : Du Le présent arrêt, dont la rédaction a été approuvée à huis clos, est notifié, par l'envoi d'une copie complète, à : - Me Jérôme Reymond, avocat (pour X.________), - [...],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